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pPr>
    </w:p>
    <w:p>
      <w:pPr>
        <w:keepNext w:val="0"/>
        <w:keepLines w:val="0"/>
        <w:pageBreakBefore w:val="0"/>
        <w:widowControl w:val="0"/>
        <w:kinsoku/>
        <w:wordWrap/>
        <w:overflowPunct w:val="0"/>
        <w:topLinePunct w:val="0"/>
        <w:autoSpaceDE/>
        <w:autoSpaceDN/>
        <w:bidi w:val="0"/>
        <w:adjustRightInd/>
        <w:snapToGrid/>
        <w:spacing w:line="240" w:lineRule="auto"/>
        <w:ind w:left="0" w:leftChars="0" w:firstLine="0" w:firstLineChars="0"/>
        <w:jc w:val="center"/>
        <w:textAlignment w:val="auto"/>
      </w:pPr>
      <w:r>
        <w:rPr>
          <w:rFonts w:hint="eastAsia" w:ascii="方正小标宋简体" w:hAnsi="方正小标宋简体" w:eastAsia="方正小标宋简体" w:cs="方正小标宋简体"/>
          <w:b w:val="0"/>
          <w:bCs/>
          <w:sz w:val="84"/>
          <w:szCs w:val="84"/>
        </w:rPr>
        <w:t xml:space="preserve">询 价 </w:t>
      </w:r>
      <w:r>
        <w:rPr>
          <w:rFonts w:hint="eastAsia" w:ascii="方正小标宋简体" w:hAnsi="方正小标宋简体" w:eastAsia="方正小标宋简体" w:cs="方正小标宋简体"/>
          <w:b w:val="0"/>
          <w:bCs/>
          <w:sz w:val="84"/>
          <w:szCs w:val="84"/>
          <w:lang w:val="en-US" w:eastAsia="zh-CN"/>
        </w:rPr>
        <w:t>文 件</w:t>
      </w: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项目编号：</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中量 询</w:t>
      </w:r>
      <w:r>
        <w:rPr>
          <w:rFonts w:hint="eastAsia" w:ascii="仿宋_GB2312" w:hAnsi="仿宋_GB2312" w:eastAsia="仿宋_GB2312" w:cs="仿宋_GB2312"/>
          <w:highlight w:val="cyan"/>
          <w:u w:val="single"/>
        </w:rPr>
        <w:t>价[202</w:t>
      </w:r>
      <w:r>
        <w:rPr>
          <w:rFonts w:hint="eastAsia" w:ascii="仿宋_GB2312" w:hAnsi="仿宋_GB2312" w:cs="仿宋_GB2312"/>
          <w:highlight w:val="cyan"/>
          <w:u w:val="single"/>
          <w:lang w:val="en-US" w:eastAsia="zh-CN"/>
        </w:rPr>
        <w:t>6</w:t>
      </w:r>
      <w:r>
        <w:rPr>
          <w:rFonts w:hint="eastAsia" w:ascii="仿宋_GB2312" w:hAnsi="仿宋_GB2312" w:eastAsia="仿宋_GB2312" w:cs="仿宋_GB2312"/>
          <w:highlight w:val="cyan"/>
          <w:u w:val="single"/>
        </w:rPr>
        <w:t>]</w:t>
      </w:r>
      <w:r>
        <w:rPr>
          <w:rFonts w:hint="eastAsia" w:ascii="仿宋_GB2312" w:hAnsi="仿宋_GB2312" w:cs="仿宋_GB2312"/>
          <w:highlight w:val="cyan"/>
          <w:u w:val="single"/>
          <w:lang w:val="en-US" w:eastAsia="zh-CN"/>
        </w:rPr>
        <w:t xml:space="preserve">  01</w:t>
      </w:r>
      <w:r>
        <w:rPr>
          <w:rFonts w:hint="eastAsia" w:ascii="仿宋_GB2312" w:hAnsi="仿宋_GB2312" w:eastAsia="仿宋_GB2312" w:cs="仿宋_GB2312"/>
          <w:highlight w:val="cyan"/>
          <w:u w:val="single"/>
        </w:rPr>
        <w:t>号</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320" w:firstLineChars="100"/>
        <w:jc w:val="lef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rPr>
        <w:t>项目名称：</w:t>
      </w:r>
      <w:r>
        <w:rPr>
          <w:rFonts w:hint="eastAsia" w:ascii="仿宋_GB2312" w:hAnsi="仿宋_GB2312" w:cs="仿宋_GB2312"/>
          <w:u w:val="single"/>
          <w:lang w:val="en-US" w:eastAsia="zh-CN"/>
        </w:rPr>
        <w:t xml:space="preserve">   </w:t>
      </w:r>
      <w:r>
        <w:rPr>
          <w:rFonts w:hint="eastAsia" w:ascii="仿宋_GB2312" w:hAnsi="仿宋_GB2312" w:eastAsia="仿宋_GB2312" w:cs="仿宋_GB2312"/>
          <w:w w:val="90"/>
          <w:u w:val="single"/>
        </w:rPr>
        <w:t>茂名市中医院新院区项目--</w:t>
      </w:r>
      <w:r>
        <w:rPr>
          <w:rFonts w:hint="eastAsia" w:ascii="仿宋_GB2312" w:hAnsi="仿宋_GB2312" w:cs="仿宋_GB2312"/>
          <w:u w:val="single"/>
          <w:lang w:val="en-US" w:eastAsia="zh-CN"/>
        </w:rPr>
        <w:t>纯水设备</w:t>
      </w:r>
      <w:r>
        <w:rPr>
          <w:rFonts w:hint="eastAsia" w:ascii="仿宋_GB2312" w:hAnsi="仿宋_GB2312" w:eastAsia="仿宋_GB2312" w:cs="仿宋_GB2312"/>
          <w:w w:val="90"/>
          <w:u w:val="single"/>
        </w:rPr>
        <w:t>询价</w:t>
      </w:r>
      <w:r>
        <w:rPr>
          <w:rFonts w:hint="eastAsia" w:ascii="仿宋_GB2312" w:hAnsi="仿宋_GB2312" w:cs="仿宋_GB2312"/>
          <w:w w:val="90"/>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rPr>
        <w:t>使用单位：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w w:val="90"/>
          <w:u w:val="single"/>
        </w:rPr>
        <w:t>广州中医药大学茂名医院（茂名市中医院）</w:t>
      </w:r>
      <w:r>
        <w:rPr>
          <w:rFonts w:hint="eastAsia" w:ascii="仿宋_GB2312" w:hAnsi="仿宋_GB2312" w:cs="仿宋_GB2312"/>
          <w:w w:val="90"/>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建设单位：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茂名市政府投资项目代建中心</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造价咨询单位：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中量工程咨询有限公司</w:t>
      </w:r>
      <w:r>
        <w:rPr>
          <w:rFonts w:hint="eastAsia" w:ascii="仿宋_GB2312" w:hAnsi="仿宋_GB2312" w:cs="仿宋_GB2312"/>
          <w:u w:val="single"/>
          <w:lang w:val="en-US" w:eastAsia="zh-CN"/>
        </w:rPr>
        <w:t xml:space="preserve">（询价人）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监理单位：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广东安邦项目管理有限公司</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eastAsia="仿宋_GB2312" w:cs="仿宋_GB2312"/>
        </w:rPr>
        <w:t>施工单位：</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广东省建筑工程集团有限公司</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320" w:firstLineChars="100"/>
        <w:jc w:val="left"/>
        <w:textAlignment w:val="auto"/>
        <w:rPr>
          <w:rFonts w:hint="default" w:ascii="仿宋_GB2312" w:hAnsi="仿宋_GB2312" w:eastAsia="仿宋_GB2312" w:cs="仿宋_GB2312"/>
          <w:u w:val="single"/>
          <w:lang w:val="en-US" w:eastAsia="zh-CN"/>
        </w:rPr>
      </w:pPr>
      <w:r>
        <w:rPr>
          <w:rFonts w:hint="eastAsia" w:ascii="仿宋_GB2312" w:hAnsi="仿宋_GB2312" w:cs="仿宋_GB2312"/>
          <w:lang w:val="en-US" w:eastAsia="zh-CN"/>
        </w:rPr>
        <w:t>时    间：</w:t>
      </w:r>
      <w:r>
        <w:rPr>
          <w:rFonts w:hint="eastAsia" w:ascii="仿宋_GB2312" w:hAnsi="仿宋_GB2312" w:cs="仿宋_GB2312"/>
          <w:u w:val="single"/>
          <w:lang w:val="en-US" w:eastAsia="zh-CN"/>
        </w:rPr>
        <w:t xml:space="preserve">             </w:t>
      </w:r>
      <w:r>
        <w:rPr>
          <w:rFonts w:hint="eastAsia" w:ascii="仿宋_GB2312" w:hAnsi="仿宋_GB2312" w:eastAsia="仿宋_GB2312" w:cs="仿宋_GB2312"/>
          <w:u w:val="single"/>
        </w:rPr>
        <w:t>202</w:t>
      </w:r>
      <w:r>
        <w:rPr>
          <w:rFonts w:hint="eastAsia" w:ascii="仿宋_GB2312" w:hAnsi="仿宋_GB2312" w:cs="仿宋_GB2312"/>
          <w:u w:val="single"/>
          <w:lang w:val="en-US" w:eastAsia="zh-CN"/>
        </w:rPr>
        <w:t>6</w:t>
      </w:r>
      <w:r>
        <w:rPr>
          <w:rFonts w:hint="eastAsia" w:ascii="仿宋_GB2312" w:hAnsi="仿宋_GB2312" w:eastAsia="仿宋_GB2312" w:cs="仿宋_GB2312"/>
          <w:u w:val="single"/>
        </w:rPr>
        <w:t>年</w:t>
      </w:r>
      <w:r>
        <w:rPr>
          <w:rFonts w:hint="eastAsia" w:ascii="仿宋_GB2312" w:hAnsi="仿宋_GB2312" w:cs="仿宋_GB2312"/>
          <w:u w:val="single"/>
          <w:lang w:val="en-US" w:eastAsia="zh-CN"/>
        </w:rPr>
        <w:t>1</w:t>
      </w:r>
      <w:r>
        <w:rPr>
          <w:rFonts w:hint="eastAsia" w:ascii="仿宋_GB2312" w:hAnsi="仿宋_GB2312" w:eastAsia="仿宋_GB2312" w:cs="仿宋_GB2312"/>
          <w:u w:val="single"/>
        </w:rPr>
        <w:t>月</w:t>
      </w:r>
      <w:r>
        <w:rPr>
          <w:rFonts w:hint="eastAsia" w:ascii="仿宋_GB2312" w:hAnsi="仿宋_GB2312" w:cs="仿宋_GB2312"/>
          <w:u w:val="single"/>
          <w:lang w:val="en-US"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left="0" w:leftChars="0" w:firstLine="0" w:firstLineChars="0"/>
        <w:jc w:val="center"/>
        <w:textAlignment w:val="auto"/>
        <w:rPr>
          <w:rFonts w:hint="eastAsia" w:ascii="仿宋_GB2312" w:hAnsi="仿宋_GB2312" w:eastAsia="仿宋_GB2312" w:cs="仿宋_GB2312"/>
        </w:rPr>
      </w:pPr>
    </w:p>
    <w:p>
      <w:pPr>
        <w:rPr>
          <w:rFonts w:hint="eastAsia" w:ascii="仿宋_GB2312" w:hAnsi="仿宋_GB2312" w:eastAsia="仿宋_GB2312" w:cs="仿宋_GB2312"/>
        </w:rPr>
      </w:pPr>
      <w:r>
        <w:rPr>
          <w:rFonts w:hint="eastAsia" w:ascii="仿宋_GB2312" w:hAnsi="仿宋_GB2312" w:eastAsia="仿宋_GB2312" w:cs="仿宋_GB2312"/>
        </w:rPr>
        <w:br w:type="page"/>
      </w:r>
    </w:p>
    <w:p>
      <w:pPr>
        <w:jc w:val="center"/>
        <w:rPr>
          <w:rFonts w:hint="eastAsia" w:eastAsia="仿宋_GB2312"/>
          <w:b/>
          <w:bCs/>
          <w:lang w:val="en-US" w:eastAsia="zh-CN"/>
        </w:rPr>
      </w:pPr>
      <w:r>
        <w:rPr>
          <w:rFonts w:hint="eastAsia"/>
          <w:b/>
          <w:bCs/>
          <w:lang w:val="en-US" w:eastAsia="zh-CN"/>
        </w:rPr>
        <w:t>目  录</w:t>
      </w:r>
    </w:p>
    <w:sdt>
      <w:sdtPr>
        <w:rPr>
          <w:rFonts w:ascii="宋体" w:hAnsi="宋体" w:eastAsia="宋体" w:cs="仿宋_GB2312"/>
          <w:kern w:val="2"/>
          <w:sz w:val="21"/>
          <w:szCs w:val="32"/>
          <w:lang w:val="en-US" w:eastAsia="zh-CN" w:bidi="ar-SA"/>
        </w:rPr>
        <w:id w:val="147461386"/>
        <w15:color w:val="DBDBDB"/>
        <w:docPartObj>
          <w:docPartGallery w:val="Table of Contents"/>
          <w:docPartUnique/>
        </w:docPartObj>
      </w:sdtPr>
      <w:sdtEndPr>
        <w:rPr>
          <w:rFonts w:eastAsia="仿宋_GB2312" w:cs="仿宋_GB2312" w:asciiTheme="minorHAnsi" w:hAnsiTheme="minorHAnsi"/>
          <w:kern w:val="2"/>
          <w:sz w:val="32"/>
          <w:szCs w:val="32"/>
          <w:lang w:val="en-US" w:eastAsia="zh-CN" w:bidi="ar-SA"/>
        </w:rPr>
      </w:sdtEndPr>
      <w:sdtContent>
        <w:p>
          <w:pPr>
            <w:pStyle w:val="10"/>
            <w:tabs>
              <w:tab w:val="right" w:leader="dot" w:pos="8306"/>
            </w:tabs>
            <w:rPr>
              <w:sz w:val="28"/>
              <w:szCs w:val="28"/>
            </w:rPr>
          </w:pPr>
          <w:r>
            <w:rPr>
              <w:sz w:val="28"/>
              <w:szCs w:val="28"/>
            </w:rPr>
            <w:fldChar w:fldCharType="begin"/>
          </w:r>
          <w:r>
            <w:rPr>
              <w:sz w:val="28"/>
              <w:szCs w:val="28"/>
            </w:rPr>
            <w:instrText xml:space="preserve">TOC \o "1-1" \h \u </w:instrText>
          </w:r>
          <w:r>
            <w:rPr>
              <w:sz w:val="28"/>
              <w:szCs w:val="28"/>
            </w:rPr>
            <w:fldChar w:fldCharType="separate"/>
          </w:r>
          <w:r>
            <w:rPr>
              <w:sz w:val="28"/>
              <w:szCs w:val="28"/>
            </w:rPr>
            <w:fldChar w:fldCharType="begin"/>
          </w:r>
          <w:r>
            <w:rPr>
              <w:sz w:val="28"/>
              <w:szCs w:val="28"/>
            </w:rPr>
            <w:instrText xml:space="preserve"> HYPERLINK \l _Toc6032 </w:instrText>
          </w:r>
          <w:r>
            <w:rPr>
              <w:sz w:val="28"/>
              <w:szCs w:val="28"/>
            </w:rPr>
            <w:fldChar w:fldCharType="separate"/>
          </w:r>
          <w:r>
            <w:rPr>
              <w:rFonts w:hint="eastAsia" w:ascii="黑体" w:hAnsi="黑体" w:eastAsia="黑体" w:cs="黑体"/>
              <w:bCs w:val="0"/>
              <w:sz w:val="28"/>
              <w:szCs w:val="28"/>
              <w:lang w:val="en-US" w:eastAsia="zh-CN"/>
            </w:rPr>
            <w:t>一、项目概况</w:t>
          </w:r>
          <w:r>
            <w:rPr>
              <w:sz w:val="28"/>
              <w:szCs w:val="28"/>
            </w:rPr>
            <w:tab/>
          </w:r>
          <w:r>
            <w:rPr>
              <w:sz w:val="28"/>
              <w:szCs w:val="28"/>
            </w:rPr>
            <w:fldChar w:fldCharType="begin"/>
          </w:r>
          <w:r>
            <w:rPr>
              <w:sz w:val="28"/>
              <w:szCs w:val="28"/>
            </w:rPr>
            <w:instrText xml:space="preserve"> PAGEREF _Toc6032 \h </w:instrText>
          </w:r>
          <w:r>
            <w:rPr>
              <w:sz w:val="28"/>
              <w:szCs w:val="28"/>
            </w:rPr>
            <w:fldChar w:fldCharType="separate"/>
          </w:r>
          <w:r>
            <w:rPr>
              <w:sz w:val="28"/>
              <w:szCs w:val="28"/>
            </w:rPr>
            <w:t>- 3 -</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_Toc8282 </w:instrText>
          </w:r>
          <w:r>
            <w:rPr>
              <w:sz w:val="28"/>
              <w:szCs w:val="28"/>
            </w:rPr>
            <w:fldChar w:fldCharType="separate"/>
          </w:r>
          <w:r>
            <w:rPr>
              <w:rFonts w:hint="eastAsia" w:ascii="黑体" w:hAnsi="黑体" w:eastAsia="黑体" w:cs="黑体"/>
              <w:sz w:val="28"/>
              <w:szCs w:val="28"/>
              <w:lang w:val="en-US" w:eastAsia="zh-CN"/>
            </w:rPr>
            <w:t>二、询价基本信息</w:t>
          </w:r>
          <w:r>
            <w:rPr>
              <w:sz w:val="28"/>
              <w:szCs w:val="28"/>
            </w:rPr>
            <w:tab/>
          </w:r>
          <w:r>
            <w:rPr>
              <w:sz w:val="28"/>
              <w:szCs w:val="28"/>
            </w:rPr>
            <w:fldChar w:fldCharType="begin"/>
          </w:r>
          <w:r>
            <w:rPr>
              <w:sz w:val="28"/>
              <w:szCs w:val="28"/>
            </w:rPr>
            <w:instrText xml:space="preserve"> PAGEREF _Toc8282 \h </w:instrText>
          </w:r>
          <w:r>
            <w:rPr>
              <w:sz w:val="28"/>
              <w:szCs w:val="28"/>
            </w:rPr>
            <w:fldChar w:fldCharType="separate"/>
          </w:r>
          <w:r>
            <w:rPr>
              <w:sz w:val="28"/>
              <w:szCs w:val="28"/>
            </w:rPr>
            <w:t>- 3 -</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_Toc10384 </w:instrText>
          </w:r>
          <w:r>
            <w:rPr>
              <w:sz w:val="28"/>
              <w:szCs w:val="28"/>
            </w:rPr>
            <w:fldChar w:fldCharType="separate"/>
          </w:r>
          <w:r>
            <w:rPr>
              <w:rFonts w:hint="eastAsia" w:ascii="黑体" w:hAnsi="黑体" w:eastAsia="黑体" w:cs="黑体"/>
              <w:sz w:val="28"/>
              <w:szCs w:val="28"/>
              <w:lang w:val="en-US" w:eastAsia="zh-CN"/>
            </w:rPr>
            <w:t>三、技术要求</w:t>
          </w:r>
          <w:r>
            <w:rPr>
              <w:sz w:val="28"/>
              <w:szCs w:val="28"/>
            </w:rPr>
            <w:tab/>
          </w:r>
          <w:r>
            <w:rPr>
              <w:sz w:val="28"/>
              <w:szCs w:val="28"/>
            </w:rPr>
            <w:fldChar w:fldCharType="begin"/>
          </w:r>
          <w:r>
            <w:rPr>
              <w:sz w:val="28"/>
              <w:szCs w:val="28"/>
            </w:rPr>
            <w:instrText xml:space="preserve"> PAGEREF _Toc10384 \h </w:instrText>
          </w:r>
          <w:r>
            <w:rPr>
              <w:sz w:val="28"/>
              <w:szCs w:val="28"/>
            </w:rPr>
            <w:fldChar w:fldCharType="separate"/>
          </w:r>
          <w:r>
            <w:rPr>
              <w:sz w:val="28"/>
              <w:szCs w:val="28"/>
            </w:rPr>
            <w:t>- 3 -</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_Toc21409 </w:instrText>
          </w:r>
          <w:r>
            <w:rPr>
              <w:sz w:val="28"/>
              <w:szCs w:val="28"/>
            </w:rPr>
            <w:fldChar w:fldCharType="separate"/>
          </w:r>
          <w:r>
            <w:rPr>
              <w:rFonts w:hint="eastAsia" w:ascii="黑体" w:hAnsi="黑体" w:eastAsia="黑体" w:cs="黑体"/>
              <w:sz w:val="28"/>
              <w:szCs w:val="28"/>
              <w:lang w:val="en-US" w:eastAsia="zh-CN"/>
            </w:rPr>
            <w:t>四、询价材料设备供应商要求</w:t>
          </w:r>
          <w:r>
            <w:rPr>
              <w:sz w:val="28"/>
              <w:szCs w:val="28"/>
            </w:rPr>
            <w:tab/>
          </w:r>
          <w:r>
            <w:rPr>
              <w:sz w:val="28"/>
              <w:szCs w:val="28"/>
            </w:rPr>
            <w:fldChar w:fldCharType="begin"/>
          </w:r>
          <w:r>
            <w:rPr>
              <w:sz w:val="28"/>
              <w:szCs w:val="28"/>
            </w:rPr>
            <w:instrText xml:space="preserve"> PAGEREF _Toc21409 \h </w:instrText>
          </w:r>
          <w:r>
            <w:rPr>
              <w:sz w:val="28"/>
              <w:szCs w:val="28"/>
            </w:rPr>
            <w:fldChar w:fldCharType="separate"/>
          </w:r>
          <w:r>
            <w:rPr>
              <w:sz w:val="28"/>
              <w:szCs w:val="28"/>
            </w:rPr>
            <w:t>- 5 -</w:t>
          </w:r>
          <w:r>
            <w:rPr>
              <w:sz w:val="28"/>
              <w:szCs w:val="28"/>
            </w:rPr>
            <w:fldChar w:fldCharType="end"/>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_Toc17666 </w:instrText>
          </w:r>
          <w:r>
            <w:rPr>
              <w:sz w:val="28"/>
              <w:szCs w:val="28"/>
            </w:rPr>
            <w:fldChar w:fldCharType="separate"/>
          </w:r>
          <w:r>
            <w:rPr>
              <w:rFonts w:hint="eastAsia" w:ascii="黑体" w:hAnsi="黑体" w:eastAsia="黑体" w:cs="黑体"/>
              <w:sz w:val="28"/>
              <w:szCs w:val="28"/>
              <w:lang w:val="en-US" w:eastAsia="zh-CN"/>
            </w:rPr>
            <w:t>五、评审方法与标准</w:t>
          </w:r>
          <w:r>
            <w:rPr>
              <w:sz w:val="28"/>
              <w:szCs w:val="28"/>
            </w:rPr>
            <w:tab/>
          </w:r>
          <w:r>
            <w:rPr>
              <w:sz w:val="28"/>
              <w:szCs w:val="28"/>
            </w:rPr>
            <w:fldChar w:fldCharType="begin"/>
          </w:r>
          <w:r>
            <w:rPr>
              <w:sz w:val="28"/>
              <w:szCs w:val="28"/>
            </w:rPr>
            <w:instrText xml:space="preserve"> PAGEREF _Toc17666 \h </w:instrText>
          </w:r>
          <w:r>
            <w:rPr>
              <w:sz w:val="28"/>
              <w:szCs w:val="28"/>
            </w:rPr>
            <w:fldChar w:fldCharType="separate"/>
          </w:r>
          <w:r>
            <w:rPr>
              <w:sz w:val="28"/>
              <w:szCs w:val="28"/>
            </w:rPr>
            <w:t>- 10 -</w:t>
          </w:r>
          <w:r>
            <w:rPr>
              <w:sz w:val="28"/>
              <w:szCs w:val="28"/>
            </w:rPr>
            <w:fldChar w:fldCharType="end"/>
          </w:r>
          <w:r>
            <w:rPr>
              <w:sz w:val="28"/>
              <w:szCs w:val="28"/>
            </w:rPr>
            <w:fldChar w:fldCharType="end"/>
          </w:r>
        </w:p>
        <w:p>
          <w:pPr>
            <w:pStyle w:val="10"/>
            <w:tabs>
              <w:tab w:val="right" w:leader="dot" w:pos="8306"/>
            </w:tabs>
            <w:rPr>
              <w:rFonts w:hint="eastAsia" w:asciiTheme="minorHAnsi" w:hAnsiTheme="minorHAnsi" w:eastAsiaTheme="minorEastAsia" w:cstheme="minorBidi"/>
              <w:sz w:val="28"/>
              <w:szCs w:val="28"/>
              <w:lang w:val="en-US" w:eastAsia="zh-CN"/>
            </w:rPr>
          </w:pPr>
          <w:r>
            <w:rPr>
              <w:rFonts w:hint="eastAsia" w:ascii="黑体" w:hAnsi="黑体" w:eastAsia="黑体" w:cs="黑体"/>
              <w:sz w:val="28"/>
              <w:szCs w:val="28"/>
              <w:lang w:val="en-US" w:eastAsia="zh-CN"/>
            </w:rPr>
            <w:t>六、询价须知</w:t>
          </w:r>
          <w:r>
            <w:rPr>
              <w:sz w:val="28"/>
              <w:szCs w:val="28"/>
            </w:rPr>
            <w:tab/>
          </w:r>
          <w:r>
            <w:rPr>
              <w:sz w:val="28"/>
              <w:szCs w:val="28"/>
            </w:rPr>
            <w:fldChar w:fldCharType="begin"/>
          </w:r>
          <w:r>
            <w:rPr>
              <w:sz w:val="28"/>
              <w:szCs w:val="28"/>
            </w:rPr>
            <w:instrText xml:space="preserve"> PAGEREF _Toc17666 \h </w:instrText>
          </w:r>
          <w:r>
            <w:rPr>
              <w:sz w:val="28"/>
              <w:szCs w:val="28"/>
            </w:rPr>
            <w:fldChar w:fldCharType="separate"/>
          </w:r>
          <w:r>
            <w:rPr>
              <w:sz w:val="28"/>
              <w:szCs w:val="28"/>
            </w:rPr>
            <w:t>- 10 -</w:t>
          </w:r>
          <w:r>
            <w:rPr>
              <w:sz w:val="28"/>
              <w:szCs w:val="28"/>
            </w:rPr>
            <w:fldChar w:fldCharType="end"/>
          </w:r>
        </w:p>
        <w:p>
          <w:pPr>
            <w:pStyle w:val="10"/>
            <w:tabs>
              <w:tab w:val="right" w:leader="dot" w:pos="8306"/>
            </w:tabs>
            <w:rPr>
              <w:rFonts w:hint="default" w:eastAsia="宋体"/>
              <w:sz w:val="28"/>
              <w:szCs w:val="28"/>
              <w:lang w:val="en-US" w:eastAsia="zh-CN"/>
            </w:rPr>
          </w:pPr>
          <w:r>
            <w:rPr>
              <w:rFonts w:hint="eastAsia" w:ascii="黑体" w:hAnsi="黑体" w:eastAsia="黑体" w:cs="黑体"/>
              <w:sz w:val="28"/>
              <w:szCs w:val="28"/>
              <w:lang w:val="en-US" w:eastAsia="zh-CN"/>
            </w:rPr>
            <w:t>七、附件</w:t>
          </w:r>
          <w:r>
            <w:rPr>
              <w:sz w:val="28"/>
              <w:szCs w:val="28"/>
            </w:rPr>
            <w:tab/>
          </w:r>
          <w:r>
            <w:rPr>
              <w:sz w:val="28"/>
              <w:szCs w:val="28"/>
            </w:rPr>
            <w:fldChar w:fldCharType="begin"/>
          </w:r>
          <w:r>
            <w:rPr>
              <w:sz w:val="28"/>
              <w:szCs w:val="28"/>
            </w:rPr>
            <w:instrText xml:space="preserve"> PAGEREF _Toc17666 \h </w:instrText>
          </w:r>
          <w:r>
            <w:rPr>
              <w:sz w:val="28"/>
              <w:szCs w:val="28"/>
            </w:rPr>
            <w:fldChar w:fldCharType="separate"/>
          </w:r>
          <w:r>
            <w:rPr>
              <w:sz w:val="28"/>
              <w:szCs w:val="28"/>
            </w:rPr>
            <w:t>- 1</w:t>
          </w:r>
          <w:r>
            <w:rPr>
              <w:rFonts w:hint="eastAsia"/>
              <w:sz w:val="28"/>
              <w:szCs w:val="28"/>
              <w:lang w:val="en-US" w:eastAsia="zh-CN"/>
            </w:rPr>
            <w:t>1</w:t>
          </w:r>
          <w:r>
            <w:rPr>
              <w:sz w:val="28"/>
              <w:szCs w:val="28"/>
            </w:rPr>
            <w:t xml:space="preserve"> -</w:t>
          </w:r>
          <w:r>
            <w:rPr>
              <w:sz w:val="28"/>
              <w:szCs w:val="28"/>
            </w:rPr>
            <w:fldChar w:fldCharType="end"/>
          </w:r>
        </w:p>
        <w:p>
          <w:pPr>
            <w:pStyle w:val="10"/>
            <w:tabs>
              <w:tab w:val="right" w:leader="dot" w:pos="8306"/>
            </w:tabs>
            <w:rPr>
              <w:sz w:val="28"/>
              <w:szCs w:val="28"/>
            </w:rPr>
          </w:pPr>
          <w:r>
            <w:rPr>
              <w:sz w:val="28"/>
              <w:szCs w:val="28"/>
            </w:rPr>
            <w:fldChar w:fldCharType="begin"/>
          </w:r>
          <w:r>
            <w:rPr>
              <w:sz w:val="28"/>
              <w:szCs w:val="28"/>
            </w:rPr>
            <w:instrText xml:space="preserve"> HYPERLINK \l _Toc8208 </w:instrText>
          </w:r>
          <w:r>
            <w:rPr>
              <w:sz w:val="28"/>
              <w:szCs w:val="28"/>
            </w:rPr>
            <w:fldChar w:fldCharType="separate"/>
          </w:r>
          <w:r>
            <w:rPr>
              <w:rFonts w:hint="eastAsia" w:ascii="黑体" w:hAnsi="黑体" w:eastAsia="黑体" w:cs="黑体"/>
              <w:sz w:val="28"/>
              <w:szCs w:val="28"/>
              <w:lang w:val="en-US" w:eastAsia="zh-CN"/>
            </w:rPr>
            <w:t>八、报价文件格式及装订顺序</w:t>
          </w:r>
          <w:r>
            <w:rPr>
              <w:sz w:val="28"/>
              <w:szCs w:val="28"/>
            </w:rPr>
            <w:tab/>
          </w:r>
          <w:r>
            <w:rPr>
              <w:sz w:val="28"/>
              <w:szCs w:val="28"/>
            </w:rPr>
            <w:fldChar w:fldCharType="begin"/>
          </w:r>
          <w:r>
            <w:rPr>
              <w:sz w:val="28"/>
              <w:szCs w:val="28"/>
            </w:rPr>
            <w:instrText xml:space="preserve"> PAGEREF _Toc8208 \h </w:instrText>
          </w:r>
          <w:r>
            <w:rPr>
              <w:sz w:val="28"/>
              <w:szCs w:val="28"/>
            </w:rPr>
            <w:fldChar w:fldCharType="separate"/>
          </w:r>
          <w:r>
            <w:rPr>
              <w:sz w:val="28"/>
              <w:szCs w:val="28"/>
            </w:rPr>
            <w:t>- 1</w:t>
          </w:r>
          <w:r>
            <w:rPr>
              <w:rFonts w:hint="eastAsia"/>
              <w:sz w:val="28"/>
              <w:szCs w:val="28"/>
              <w:lang w:val="en-US" w:eastAsia="zh-CN"/>
            </w:rPr>
            <w:t>2</w:t>
          </w:r>
          <w:r>
            <w:rPr>
              <w:sz w:val="28"/>
              <w:szCs w:val="28"/>
            </w:rPr>
            <w:t xml:space="preserve"> -</w:t>
          </w:r>
          <w:r>
            <w:rPr>
              <w:sz w:val="28"/>
              <w:szCs w:val="28"/>
            </w:rPr>
            <w:fldChar w:fldCharType="end"/>
          </w:r>
          <w:r>
            <w:rPr>
              <w:sz w:val="28"/>
              <w:szCs w:val="28"/>
            </w:rPr>
            <w:fldChar w:fldCharType="end"/>
          </w:r>
        </w:p>
        <w:p>
          <w:pPr>
            <w:jc w:val="center"/>
          </w:pPr>
          <w:r>
            <w:rPr>
              <w:sz w:val="28"/>
              <w:szCs w:val="28"/>
            </w:rPr>
            <w:fldChar w:fldCharType="end"/>
          </w:r>
        </w:p>
      </w:sdtContent>
    </w:sdt>
    <w:p>
      <w:pPr>
        <w:jc w:val="center"/>
      </w:pPr>
    </w:p>
    <w:p>
      <w:pPr>
        <w:jc w:val="center"/>
      </w:pPr>
    </w:p>
    <w:p>
      <w:pPr>
        <w:jc w:val="center"/>
      </w:pPr>
    </w:p>
    <w:p>
      <w:pPr>
        <w:keepNext w:val="0"/>
        <w:keepLines w:val="0"/>
        <w:pageBreakBefore w:val="0"/>
        <w:widowControl w:val="0"/>
        <w:kinsoku/>
        <w:wordWrap/>
        <w:overflowPunct w:val="0"/>
        <w:topLinePunct w:val="0"/>
        <w:autoSpaceDE/>
        <w:autoSpaceDN/>
        <w:bidi w:val="0"/>
        <w:adjustRightInd/>
        <w:snapToGrid/>
        <w:spacing w:line="590" w:lineRule="exact"/>
        <w:jc w:val="center"/>
        <w:textAlignment w:val="auto"/>
        <w:rPr>
          <w:rFonts w:hint="eastAsia"/>
          <w:b/>
          <w:bCs/>
          <w:lang w:val="en-US" w:eastAsia="zh-CN"/>
        </w:rPr>
        <w:sectPr>
          <w:footerReference r:id="rId3" w:type="default"/>
          <w:pgSz w:w="11906" w:h="16838"/>
          <w:pgMar w:top="1440" w:right="1800" w:bottom="1440" w:left="1800" w:header="851" w:footer="992" w:gutter="0"/>
          <w:pgNumType w:fmt="numberInDash"/>
          <w:cols w:space="425" w:num="1"/>
          <w:docGrid w:type="lines" w:linePitch="312" w:charSpace="0"/>
        </w:sectPr>
      </w:pPr>
    </w:p>
    <w:p>
      <w:pPr>
        <w:keepNext w:val="0"/>
        <w:keepLines w:val="0"/>
        <w:pageBreakBefore w:val="0"/>
        <w:widowControl w:val="0"/>
        <w:kinsoku/>
        <w:wordWrap/>
        <w:overflowPunct w:val="0"/>
        <w:topLinePunct w:val="0"/>
        <w:autoSpaceDE/>
        <w:autoSpaceDN/>
        <w:bidi w:val="0"/>
        <w:adjustRightInd/>
        <w:snapToGrid/>
        <w:spacing w:line="59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询价文件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b w:val="0"/>
          <w:bCs w:val="0"/>
          <w:lang w:val="en-US" w:eastAsia="zh-CN"/>
        </w:rPr>
      </w:pPr>
      <w:bookmarkStart w:id="0" w:name="_Toc6032"/>
      <w:r>
        <w:rPr>
          <w:rFonts w:hint="eastAsia" w:ascii="黑体" w:hAnsi="黑体" w:eastAsia="黑体" w:cs="黑体"/>
          <w:b w:val="0"/>
          <w:bCs w:val="0"/>
          <w:lang w:val="en-US" w:eastAsia="zh-CN"/>
        </w:rPr>
        <w:t>一、项目概况</w:t>
      </w:r>
      <w:bookmarkEnd w:id="0"/>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该项目拟按三级甲等中医医院标准进行规划建设项目规划占地面积106663.77平方米，规划总建筑面积235205平方米。项目拟分两期建设：一期建设内容：规划建设面积约195895平方米，主要建设：门诊楼、医技楼、住院楼、污水站、门卫，余下给排水、电气、通风、空调等安装工程由二期实施；配套园建工程，安装工程和设备设施。二期建设内容：规划建设面积约39310平方米，主要建设：应急楼、医师规培楼、1号综合楼、2号综合楼、住院楼顶部的给排水、电气、通风空调等安装工程；配套园建工程、安装工程和设备设施。</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1" w:name="_Toc8282"/>
      <w:r>
        <w:rPr>
          <w:rFonts w:hint="eastAsia" w:ascii="黑体" w:hAnsi="黑体" w:eastAsia="黑体" w:cs="黑体"/>
          <w:lang w:val="en-US" w:eastAsia="zh-CN"/>
        </w:rPr>
        <w:t>二、询价基本信息</w:t>
      </w:r>
      <w:bookmarkEnd w:id="1"/>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一）项目编号</w:t>
      </w:r>
      <w:r>
        <w:rPr>
          <w:rFonts w:hint="eastAsia" w:ascii="仿宋_GB2312" w:hAnsi="仿宋_GB2312" w:cs="仿宋_GB2312"/>
          <w:lang w:val="en-US" w:eastAsia="zh-CN"/>
        </w:rPr>
        <w:t>：</w:t>
      </w:r>
      <w:r>
        <w:rPr>
          <w:rFonts w:hint="eastAsia" w:ascii="仿宋_GB2312" w:hAnsi="仿宋_GB2312" w:cs="仿宋_GB2312"/>
          <w:highlight w:val="cyan"/>
          <w:u w:val="single"/>
          <w:lang w:val="en-US" w:eastAsia="zh-CN"/>
        </w:rPr>
        <w:t>中量 询价[2026] 01 号</w:t>
      </w:r>
      <w:r>
        <w:rPr>
          <w:rFonts w:hint="eastAsia" w:ascii="仿宋_GB2312" w:hAnsi="仿宋_GB2312" w:cs="仿宋_GB2312"/>
          <w:highlight w:val="cyan"/>
          <w:u w:val="none"/>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二）询价项目名称</w:t>
      </w:r>
      <w:r>
        <w:rPr>
          <w:rFonts w:hint="eastAsia" w:ascii="仿宋_GB2312" w:hAnsi="仿宋_GB2312" w:cs="仿宋_GB2312"/>
          <w:lang w:val="en-US" w:eastAsia="zh-CN"/>
        </w:rPr>
        <w:t>：</w:t>
      </w:r>
      <w:r>
        <w:rPr>
          <w:rFonts w:hint="eastAsia" w:ascii="仿宋_GB2312" w:hAnsi="仿宋_GB2312" w:cs="仿宋_GB2312"/>
          <w:u w:val="single"/>
          <w:lang w:val="en-US" w:eastAsia="zh-CN"/>
        </w:rPr>
        <w:t>茂名市中医院新院区项目-纯水设备</w:t>
      </w:r>
      <w:r>
        <w:rPr>
          <w:rFonts w:hint="eastAsia" w:ascii="仿宋_GB2312" w:hAnsi="仿宋_GB2312" w:cs="仿宋_GB2312"/>
          <w:u w:val="none"/>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三）询价方式</w:t>
      </w:r>
      <w:r>
        <w:rPr>
          <w:rFonts w:hint="eastAsia" w:ascii="仿宋_GB2312" w:hAnsi="仿宋_GB2312" w:cs="仿宋_GB2312"/>
          <w:lang w:val="en-US" w:eastAsia="zh-CN"/>
        </w:rPr>
        <w:t>：</w:t>
      </w:r>
      <w:r>
        <w:rPr>
          <w:rFonts w:hint="eastAsia" w:ascii="仿宋_GB2312" w:hAnsi="仿宋_GB2312" w:cs="仿宋_GB2312"/>
          <w:u w:val="single"/>
          <w:lang w:val="en-US" w:eastAsia="zh-CN"/>
        </w:rPr>
        <w:t>线上询价和线下询价</w:t>
      </w:r>
      <w:r>
        <w:rPr>
          <w:rFonts w:hint="eastAsia" w:ascii="仿宋_GB2312" w:hAnsi="仿宋_GB2312" w:cs="仿宋_GB2312"/>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四）询价材料设备</w:t>
      </w:r>
      <w:r>
        <w:rPr>
          <w:rFonts w:hint="eastAsia" w:ascii="仿宋_GB2312" w:hAnsi="仿宋_GB2312" w:cs="仿宋_GB2312"/>
          <w:lang w:val="en-US" w:eastAsia="zh-CN"/>
        </w:rPr>
        <w:t>：</w:t>
      </w:r>
      <w:r>
        <w:rPr>
          <w:rFonts w:hint="eastAsia" w:ascii="仿宋_GB2312" w:hAnsi="仿宋_GB2312" w:cs="仿宋_GB2312"/>
          <w:u w:val="single"/>
          <w:lang w:val="en-US" w:eastAsia="zh-CN"/>
        </w:rPr>
        <w:t>纯水设备</w:t>
      </w:r>
      <w:r>
        <w:rPr>
          <w:rFonts w:hint="eastAsia" w:ascii="仿宋_GB2312" w:hAnsi="仿宋_GB2312" w:cs="仿宋_GB2312"/>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五）</w:t>
      </w:r>
      <w:bookmarkStart w:id="2" w:name="_Toc24157"/>
      <w:r>
        <w:rPr>
          <w:rFonts w:hint="eastAsia" w:ascii="楷体_GB2312" w:hAnsi="楷体_GB2312" w:eastAsia="楷体_GB2312" w:cs="楷体_GB2312"/>
          <w:lang w:eastAsia="zh-CN"/>
        </w:rPr>
        <w:t>响应文件提交</w:t>
      </w:r>
      <w:bookmarkEnd w:id="2"/>
      <w:r>
        <w:rPr>
          <w:rFonts w:hint="eastAsia" w:ascii="楷体_GB2312" w:hAnsi="楷体_GB2312" w:eastAsia="楷体_GB2312" w:cs="楷体_GB2312"/>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1.</w:t>
      </w:r>
      <w:r>
        <w:rPr>
          <w:rFonts w:hint="eastAsia" w:ascii="楷体_GB2312" w:hAnsi="楷体_GB2312" w:eastAsia="楷体_GB2312" w:cs="楷体_GB2312"/>
          <w:u w:val="none"/>
          <w:lang w:eastAsia="zh-CN"/>
        </w:rPr>
        <w:t>截止时间</w:t>
      </w:r>
      <w:r>
        <w:rPr>
          <w:rFonts w:hint="eastAsia" w:ascii="楷体_GB2312" w:hAnsi="楷体_GB2312" w:eastAsia="楷体_GB2312" w:cs="楷体_GB2312"/>
          <w:highlight w:val="cyan"/>
          <w:u w:val="single"/>
          <w:lang w:eastAsia="zh-CN"/>
        </w:rPr>
        <w:t>：</w:t>
      </w:r>
      <w:r>
        <w:rPr>
          <w:rFonts w:hint="eastAsia" w:ascii="仿宋_GB2312" w:hAnsi="仿宋_GB2312" w:cs="仿宋_GB2312"/>
          <w:highlight w:val="cyan"/>
          <w:u w:val="single"/>
          <w:lang w:val="en-US" w:eastAsia="zh-CN"/>
        </w:rPr>
        <w:t>2026年 2月 9 日9点30分</w:t>
      </w:r>
      <w:r>
        <w:rPr>
          <w:rFonts w:hint="eastAsia" w:ascii="仿宋_GB2312" w:hAnsi="仿宋_GB2312" w:cs="仿宋_GB2312"/>
          <w:u w:val="single"/>
          <w:lang w:val="en-US" w:eastAsia="zh-CN"/>
        </w:rPr>
        <w:t>（北京时间）（从询价通知书开始发出之日起至供应商提交响应文件截止之日止不得少于3个工作日）</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2.接收</w:t>
      </w:r>
      <w:r>
        <w:rPr>
          <w:rFonts w:hint="eastAsia" w:ascii="楷体_GB2312" w:hAnsi="楷体_GB2312" w:eastAsia="楷体_GB2312" w:cs="楷体_GB2312"/>
          <w:u w:val="none"/>
          <w:lang w:eastAsia="zh-CN"/>
        </w:rPr>
        <w:t>地点：</w:t>
      </w:r>
      <w:r>
        <w:rPr>
          <w:rFonts w:hint="eastAsia" w:ascii="仿宋_GB2312" w:hAnsi="仿宋_GB2312" w:cs="仿宋_GB2312"/>
          <w:u w:val="single"/>
          <w:lang w:val="en-US" w:eastAsia="zh-CN"/>
        </w:rPr>
        <w:t>广东省茂名市茂南区茂南开发区蟠龙山村茂名市中医院新院区（广东建工项目部-中量工程咨询有限公司办公室）</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u w:val="none"/>
          <w:lang w:val="en-US" w:eastAsia="zh-CN"/>
        </w:rPr>
      </w:pPr>
      <w:r>
        <w:rPr>
          <w:rFonts w:hint="eastAsia" w:ascii="楷体_GB2312" w:hAnsi="楷体_GB2312" w:eastAsia="楷体_GB2312" w:cs="楷体_GB2312"/>
          <w:u w:val="none"/>
          <w:lang w:eastAsia="zh-CN"/>
        </w:rPr>
        <w:t>（</w:t>
      </w:r>
      <w:r>
        <w:rPr>
          <w:rFonts w:hint="eastAsia" w:ascii="楷体_GB2312" w:hAnsi="楷体_GB2312" w:eastAsia="楷体_GB2312" w:cs="楷体_GB2312"/>
          <w:u w:val="none"/>
          <w:lang w:val="en-US" w:eastAsia="zh-CN"/>
        </w:rPr>
        <w:t>五）询价文件</w:t>
      </w:r>
      <w:r>
        <w:rPr>
          <w:rFonts w:hint="eastAsia" w:ascii="楷体_GB2312" w:hAnsi="楷体_GB2312" w:eastAsia="楷体_GB2312" w:cs="楷体_GB2312"/>
          <w:u w:val="none"/>
          <w:lang w:eastAsia="zh-CN"/>
        </w:rPr>
        <w:t>获取</w:t>
      </w:r>
      <w:r>
        <w:rPr>
          <w:rFonts w:hint="eastAsia" w:ascii="楷体_GB2312" w:hAnsi="楷体_GB2312" w:eastAsia="楷体_GB2312" w:cs="楷体_GB2312"/>
          <w:u w:val="none"/>
          <w:lang w:val="en-US"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1、获取时间：</w:t>
      </w:r>
      <w:r>
        <w:rPr>
          <w:rFonts w:hint="eastAsia" w:ascii="仿宋_GB2312" w:hAnsi="仿宋_GB2312" w:cs="仿宋_GB2312"/>
          <w:highlight w:val="cyan"/>
          <w:u w:val="single"/>
          <w:lang w:val="en-US" w:eastAsia="zh-CN"/>
        </w:rPr>
        <w:t>2026年1 月31  日至2026年 2 月5</w:t>
      </w:r>
      <w:bookmarkStart w:id="47" w:name="_GoBack"/>
      <w:bookmarkEnd w:id="47"/>
      <w:r>
        <w:rPr>
          <w:rFonts w:hint="eastAsia" w:ascii="仿宋_GB2312" w:hAnsi="仿宋_GB2312" w:cs="仿宋_GB2312"/>
          <w:highlight w:val="cyan"/>
          <w:u w:val="single"/>
          <w:lang w:val="en-US" w:eastAsia="zh-CN"/>
        </w:rPr>
        <w:t xml:space="preserve"> </w:t>
      </w:r>
      <w:r>
        <w:rPr>
          <w:rFonts w:hint="eastAsia" w:ascii="仿宋_GB2312" w:hAnsi="仿宋_GB2312" w:cs="仿宋_GB2312"/>
          <w:u w:val="single"/>
          <w:lang w:val="en-US" w:eastAsia="zh-CN"/>
        </w:rPr>
        <w:t>日（询价通知书的发出期限自开始之日起不得少于3个工作日），每天上午09:00至 12:00 ，下午 14:30 至 17:30 （北京时间，法定节假日除外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2.现场获取文件</w:t>
      </w:r>
      <w:r>
        <w:rPr>
          <w:rFonts w:hint="eastAsia" w:ascii="仿宋_GB2312" w:hAnsi="仿宋_GB2312" w:cs="仿宋_GB2312"/>
          <w:u w:val="single"/>
          <w:lang w:val="en-US" w:eastAsia="zh-CN"/>
        </w:rPr>
        <w:t>：供应商可至广东省茂名市茂南区茂南开发区蟠龙山村茂名市中医院新院区（广东建工项目部-中量工程咨询有限公司办公室）获取文件。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3.线上获取文件：</w:t>
      </w:r>
      <w:r>
        <w:rPr>
          <w:rFonts w:hint="eastAsia" w:ascii="仿宋_GB2312" w:hAnsi="仿宋_GB2312" w:cs="仿宋_GB2312"/>
          <w:u w:val="single"/>
          <w:lang w:val="en-US" w:eastAsia="zh-CN"/>
        </w:rPr>
        <w:t>咨询单位网址zlgl@zonleon.com;</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4.获取询价文件过程问题咨询联系人：</w:t>
      </w:r>
      <w:r>
        <w:rPr>
          <w:rFonts w:hint="eastAsia" w:ascii="仿宋_GB2312" w:hAnsi="仿宋_GB2312" w:cs="仿宋_GB2312"/>
          <w:u w:val="single"/>
          <w:lang w:val="en-US" w:eastAsia="zh-CN"/>
        </w:rPr>
        <w:t>林向红，</w:t>
      </w:r>
      <w:r>
        <w:rPr>
          <w:rFonts w:hint="eastAsia" w:ascii="楷体_GB2312" w:hAnsi="楷体_GB2312" w:eastAsia="楷体_GB2312" w:cs="楷体_GB2312"/>
          <w:u w:val="none"/>
          <w:lang w:val="en-US" w:eastAsia="zh-CN"/>
        </w:rPr>
        <w:t>联系电话：</w:t>
      </w:r>
      <w:r>
        <w:rPr>
          <w:rFonts w:hint="eastAsia" w:ascii="仿宋_GB2312" w:hAnsi="仿宋_GB2312" w:cs="仿宋_GB2312"/>
          <w:u w:val="single"/>
          <w:lang w:val="en-US" w:eastAsia="zh-CN"/>
        </w:rPr>
        <w:t>13828683302。</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u w:val="none"/>
          <w:lang w:val="en-US" w:eastAsia="zh-CN"/>
        </w:rPr>
      </w:pPr>
      <w:r>
        <w:rPr>
          <w:rFonts w:hint="eastAsia" w:ascii="楷体_GB2312" w:hAnsi="楷体_GB2312" w:eastAsia="楷体_GB2312" w:cs="楷体_GB2312"/>
          <w:u w:val="none"/>
          <w:lang w:val="en-US" w:eastAsia="zh-CN"/>
        </w:rPr>
        <w:t>（六）开启：</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u w:val="single"/>
          <w:lang w:val="en-US" w:eastAsia="zh-CN"/>
        </w:rPr>
      </w:pPr>
      <w:r>
        <w:rPr>
          <w:rFonts w:hint="eastAsia" w:ascii="楷体_GB2312" w:hAnsi="楷体_GB2312" w:eastAsia="楷体_GB2312" w:cs="楷体_GB2312"/>
          <w:u w:val="none"/>
          <w:lang w:val="en-US" w:eastAsia="zh-CN"/>
        </w:rPr>
        <w:t>时间：</w:t>
      </w:r>
      <w:r>
        <w:rPr>
          <w:rFonts w:hint="eastAsia" w:ascii="仿宋_GB2312" w:hAnsi="仿宋_GB2312" w:cs="仿宋_GB2312"/>
          <w:u w:val="single"/>
          <w:lang w:val="en-US" w:eastAsia="zh-CN"/>
        </w:rPr>
        <w:t xml:space="preserve"> </w:t>
      </w:r>
      <w:r>
        <w:rPr>
          <w:rFonts w:hint="eastAsia" w:ascii="仿宋_GB2312" w:hAnsi="仿宋_GB2312" w:cs="仿宋_GB2312"/>
          <w:highlight w:val="cyan"/>
          <w:u w:val="single"/>
          <w:lang w:val="en-US" w:eastAsia="zh-CN"/>
        </w:rPr>
        <w:t>2026年2月9日 9 点 30 分</w:t>
      </w:r>
      <w:r>
        <w:rPr>
          <w:rFonts w:hint="eastAsia" w:ascii="仿宋_GB2312" w:hAnsi="仿宋_GB2312" w:cs="仿宋_GB2312"/>
          <w:u w:val="single"/>
          <w:lang w:val="en-US" w:eastAsia="zh-CN"/>
        </w:rPr>
        <w:t>（北京时间）</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cs="仿宋_GB2312"/>
          <w:u w:val="single"/>
          <w:lang w:val="en-US" w:eastAsia="zh-CN"/>
        </w:rPr>
      </w:pPr>
      <w:r>
        <w:rPr>
          <w:rFonts w:hint="eastAsia" w:ascii="楷体_GB2312" w:hAnsi="楷体_GB2312" w:eastAsia="楷体_GB2312" w:cs="楷体_GB2312"/>
          <w:u w:val="none"/>
          <w:lang w:val="en-US" w:eastAsia="zh-CN"/>
        </w:rPr>
        <w:t>地点：</w:t>
      </w:r>
      <w:r>
        <w:rPr>
          <w:rFonts w:hint="eastAsia" w:ascii="仿宋_GB2312" w:hAnsi="仿宋_GB2312" w:cs="仿宋_GB2312"/>
          <w:u w:val="single"/>
          <w:lang w:val="en-US" w:eastAsia="zh-CN"/>
        </w:rPr>
        <w:t xml:space="preserve">广东省茂名市茂南区茂南开发区蟠龙山村茂名市中医院新院区（广东建工项目部-会议室）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3" w:name="_Toc10384"/>
      <w:r>
        <w:rPr>
          <w:rFonts w:hint="eastAsia" w:ascii="黑体" w:hAnsi="黑体" w:eastAsia="黑体" w:cs="黑体"/>
          <w:lang w:val="en-US" w:eastAsia="zh-CN"/>
        </w:rPr>
        <w:t>三、技术要求</w:t>
      </w:r>
      <w:bookmarkEnd w:id="3"/>
    </w:p>
    <w:p>
      <w:pPr>
        <w:keepNext w:val="0"/>
        <w:keepLines w:val="0"/>
        <w:pageBreakBefore w:val="0"/>
        <w:widowControl w:val="0"/>
        <w:kinsoku/>
        <w:wordWrap/>
        <w:overflowPunct w:val="0"/>
        <w:topLinePunct w:val="0"/>
        <w:autoSpaceDE/>
        <w:autoSpaceDN/>
        <w:bidi w:val="0"/>
        <w:adjustRightInd/>
        <w:snapToGrid/>
        <w:spacing w:line="590" w:lineRule="exact"/>
        <w:ind w:firstLine="643" w:firstLineChars="200"/>
        <w:textAlignment w:val="auto"/>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（七）纯水设备</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cs="仿宋_GB2312"/>
          <w:lang w:val="en-US" w:eastAsia="zh-CN"/>
        </w:rPr>
        <w:t>.</w:t>
      </w:r>
      <w:r>
        <w:rPr>
          <w:rFonts w:hint="eastAsia" w:ascii="仿宋_GB2312" w:hAnsi="仿宋_GB2312" w:eastAsia="仿宋_GB2312" w:cs="仿宋_GB2312"/>
        </w:rPr>
        <w:t>透析用水处理设备应具有国家药品监督管理局颁发的注册证、生产许可证等。</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eastAsia="仿宋_GB2312" w:cs="仿宋_GB2312"/>
        </w:rPr>
        <w:t>2</w:t>
      </w:r>
      <w:r>
        <w:rPr>
          <w:rFonts w:hint="eastAsia" w:ascii="仿宋_GB2312" w:hAnsi="仿宋_GB2312" w:cs="仿宋_GB2312"/>
          <w:lang w:val="en-US" w:eastAsia="zh-CN"/>
        </w:rPr>
        <w:t>.</w:t>
      </w:r>
      <w:r>
        <w:rPr>
          <w:rFonts w:hint="eastAsia" w:ascii="仿宋_GB2312" w:hAnsi="仿宋_GB2312" w:eastAsia="仿宋_GB2312" w:cs="仿宋_GB2312"/>
        </w:rPr>
        <w:t>透析用水处理设备的产水水质必须符合并达到透析用水国家行业标准《血液透析及相关治疗用水》(YY 0572-2015)的要求</w:t>
      </w:r>
      <w:r>
        <w:rPr>
          <w:rFonts w:hint="eastAsia" w:ascii="仿宋_GB2312" w:hAnsi="仿宋_GB2312" w:cs="仿宋_GB2312"/>
          <w:lang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询价</w:t>
      </w:r>
      <w:r>
        <w:rPr>
          <w:rFonts w:hint="eastAsia" w:ascii="仿宋_GB2312" w:hAnsi="仿宋_GB2312" w:eastAsia="仿宋_GB2312" w:cs="仿宋_GB2312"/>
        </w:rPr>
        <w:t>所确定的设备规格、性能等技术指标，不应低于设计</w:t>
      </w:r>
      <w:r>
        <w:rPr>
          <w:rFonts w:hint="eastAsia" w:ascii="仿宋_GB2312" w:hAnsi="仿宋_GB2312" w:cs="仿宋_GB2312"/>
          <w:lang w:val="en-US" w:eastAsia="zh-CN"/>
        </w:rPr>
        <w:t>医技楼二楼血液透析用纯水设备工艺流程图</w:t>
      </w:r>
      <w:r>
        <w:rPr>
          <w:rFonts w:hint="eastAsia" w:ascii="仿宋_GB2312" w:hAnsi="仿宋_GB2312" w:eastAsia="仿宋_GB2312" w:cs="仿宋_GB2312"/>
        </w:rPr>
        <w:t>的要求</w:t>
      </w:r>
      <w:r>
        <w:rPr>
          <w:rFonts w:hint="eastAsia" w:ascii="仿宋_GB2312" w:hAnsi="仿宋_GB2312" w:cs="仿宋_GB2312"/>
          <w:lang w:val="en-US" w:eastAsia="zh-CN"/>
        </w:rPr>
        <w:t>及中医院发函要求</w:t>
      </w:r>
      <w:r>
        <w:rPr>
          <w:rFonts w:hint="eastAsia" w:ascii="仿宋_GB2312" w:hAnsi="仿宋_GB2312" w:cs="仿宋_GB2312"/>
          <w:lang w:eastAsia="zh-CN"/>
        </w:rPr>
        <w:t>（</w:t>
      </w:r>
      <w:r>
        <w:rPr>
          <w:rFonts w:hint="eastAsia" w:ascii="仿宋_GB2312" w:hAnsi="仿宋_GB2312" w:cs="仿宋_GB2312"/>
          <w:lang w:val="en-US" w:eastAsia="zh-CN"/>
        </w:rPr>
        <w:t>图纸和函件详见附件）</w:t>
      </w:r>
      <w:r>
        <w:rPr>
          <w:rFonts w:hint="eastAsia" w:ascii="仿宋_GB2312" w:hAnsi="仿宋_GB2312" w:eastAsia="仿宋_GB2312" w:cs="仿宋_GB2312"/>
        </w:rPr>
        <w:t>。图纸所选设备型号仅供参考，</w:t>
      </w:r>
      <w:r>
        <w:rPr>
          <w:rFonts w:hint="eastAsia" w:ascii="仿宋_GB2312" w:hAnsi="仿宋_GB2312" w:cs="仿宋_GB2312"/>
          <w:lang w:val="en-US" w:eastAsia="zh-CN"/>
        </w:rPr>
        <w:t>询价报价</w:t>
      </w:r>
      <w:r>
        <w:rPr>
          <w:rFonts w:hint="eastAsia" w:ascii="仿宋_GB2312" w:hAnsi="仿宋_GB2312" w:eastAsia="仿宋_GB2312" w:cs="仿宋_GB2312"/>
        </w:rPr>
        <w:t>设备参数不应低于参考型号设备的参数、功能</w:t>
      </w:r>
      <w:r>
        <w:rPr>
          <w:rFonts w:hint="eastAsia" w:ascii="仿宋_GB2312" w:hAnsi="仿宋_GB2312" w:cs="仿宋_GB2312"/>
          <w:lang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3.使用方</w:t>
      </w:r>
      <w:r>
        <w:rPr>
          <w:rFonts w:hint="eastAsia" w:ascii="仿宋_GB2312" w:hAnsi="仿宋_GB2312" w:cs="仿宋_GB2312"/>
          <w:lang w:eastAsia="zh-CN"/>
        </w:rPr>
        <w:t>功能要求：血液透析中心专用双级反渗水处理系统，满足80个透析用水点用水需要。</w:t>
      </w:r>
    </w:p>
    <w:p>
      <w:pPr>
        <w:keepNext w:val="0"/>
        <w:keepLines w:val="0"/>
        <w:pageBreakBefore w:val="0"/>
        <w:widowControl w:val="0"/>
        <w:kinsoku/>
        <w:wordWrap/>
        <w:overflowPunct w:val="0"/>
        <w:topLinePunct w:val="0"/>
        <w:autoSpaceDE/>
        <w:autoSpaceDN/>
        <w:bidi w:val="0"/>
        <w:adjustRightInd/>
        <w:snapToGrid/>
        <w:spacing w:line="590" w:lineRule="exact"/>
        <w:jc w:val="center"/>
        <w:textAlignment w:val="auto"/>
        <w:rPr>
          <w:rFonts w:hint="eastAsia" w:ascii="仿宋_GB2312" w:hAnsi="仿宋_GB2312" w:cs="仿宋_GB2312"/>
          <w:lang w:val="en-US" w:eastAsia="zh-CN"/>
        </w:rPr>
      </w:pPr>
      <w:r>
        <w:rPr>
          <w:rFonts w:hint="eastAsia" w:ascii="仿宋_GB2312" w:hAnsi="仿宋_GB2312" w:cs="仿宋_GB2312"/>
          <w:lang w:val="en-US" w:eastAsia="zh-CN"/>
        </w:rPr>
        <w:t>配置清单</w:t>
      </w:r>
    </w:p>
    <w:tbl>
      <w:tblPr>
        <w:tblStyle w:val="6"/>
        <w:tblW w:w="0" w:type="auto"/>
        <w:jc w:val="center"/>
        <w:tblLayout w:type="autofit"/>
        <w:tblCellMar>
          <w:top w:w="0" w:type="dxa"/>
          <w:left w:w="108" w:type="dxa"/>
          <w:bottom w:w="0" w:type="dxa"/>
          <w:right w:w="108" w:type="dxa"/>
        </w:tblCellMar>
      </w:tblPr>
      <w:tblGrid>
        <w:gridCol w:w="638"/>
        <w:gridCol w:w="2526"/>
        <w:gridCol w:w="1896"/>
      </w:tblGrid>
      <w:tr>
        <w:tblPrEx>
          <w:tblCellMar>
            <w:top w:w="0" w:type="dxa"/>
            <w:left w:w="108" w:type="dxa"/>
            <w:bottom w:w="0" w:type="dxa"/>
            <w:right w:w="108" w:type="dxa"/>
          </w:tblCellMar>
        </w:tblPrEx>
        <w:trPr>
          <w:trHeight w:val="285"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b/>
                <w:bCs/>
                <w:sz w:val="21"/>
                <w:szCs w:val="21"/>
              </w:rPr>
            </w:pPr>
            <w:r>
              <w:rPr>
                <w:rFonts w:hint="eastAsia" w:ascii="方正仿宋_GB2312" w:hAnsi="方正仿宋_GB2312" w:eastAsia="方正仿宋_GB2312" w:cs="方正仿宋_GB2312"/>
                <w:b/>
                <w:bCs/>
                <w:sz w:val="21"/>
                <w:szCs w:val="21"/>
              </w:rPr>
              <w:t>序号</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b/>
                <w:bCs/>
                <w:sz w:val="21"/>
                <w:szCs w:val="21"/>
              </w:rPr>
            </w:pPr>
            <w:r>
              <w:rPr>
                <w:rFonts w:hint="eastAsia" w:ascii="方正仿宋_GB2312" w:hAnsi="方正仿宋_GB2312" w:eastAsia="方正仿宋_GB2312" w:cs="方正仿宋_GB2312"/>
                <w:b/>
                <w:bCs/>
                <w:sz w:val="21"/>
                <w:szCs w:val="21"/>
              </w:rPr>
              <w:t>名称</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b/>
                <w:bCs/>
                <w:sz w:val="21"/>
                <w:szCs w:val="21"/>
              </w:rPr>
            </w:pPr>
            <w:r>
              <w:rPr>
                <w:rFonts w:hint="eastAsia" w:ascii="方正仿宋_GB2312" w:hAnsi="方正仿宋_GB2312" w:eastAsia="方正仿宋_GB2312" w:cs="方正仿宋_GB2312"/>
                <w:b/>
                <w:bCs/>
                <w:sz w:val="21"/>
                <w:szCs w:val="21"/>
              </w:rPr>
              <w:t>数量</w:t>
            </w:r>
          </w:p>
        </w:tc>
      </w:tr>
      <w:tr>
        <w:tblPrEx>
          <w:tblCellMar>
            <w:top w:w="0" w:type="dxa"/>
            <w:left w:w="108" w:type="dxa"/>
            <w:bottom w:w="0" w:type="dxa"/>
            <w:right w:w="108" w:type="dxa"/>
          </w:tblCellMar>
        </w:tblPrEx>
        <w:trPr>
          <w:trHeight w:val="33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全自动可反冲式过滤器</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bCs/>
                <w:sz w:val="21"/>
                <w:szCs w:val="21"/>
              </w:rPr>
              <w:t>1个</w:t>
            </w:r>
          </w:p>
        </w:tc>
      </w:tr>
      <w:tr>
        <w:tblPrEx>
          <w:tblCellMar>
            <w:top w:w="0" w:type="dxa"/>
            <w:left w:w="108" w:type="dxa"/>
            <w:bottom w:w="0" w:type="dxa"/>
            <w:right w:w="108" w:type="dxa"/>
          </w:tblCellMar>
        </w:tblPrEx>
        <w:trPr>
          <w:trHeight w:val="33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2</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bookmarkStart w:id="4" w:name="_Hlk87555855"/>
            <w:r>
              <w:rPr>
                <w:rFonts w:hint="eastAsia" w:ascii="方正仿宋_GB2312" w:hAnsi="方正仿宋_GB2312" w:eastAsia="方正仿宋_GB2312" w:cs="方正仿宋_GB2312"/>
                <w:sz w:val="21"/>
                <w:szCs w:val="21"/>
              </w:rPr>
              <w:t>全自动前级加压泵</w:t>
            </w:r>
            <w:bookmarkEnd w:id="4"/>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2个</w:t>
            </w:r>
          </w:p>
        </w:tc>
      </w:tr>
      <w:tr>
        <w:tblPrEx>
          <w:tblCellMar>
            <w:top w:w="0" w:type="dxa"/>
            <w:left w:w="108" w:type="dxa"/>
            <w:bottom w:w="0" w:type="dxa"/>
            <w:right w:w="108" w:type="dxa"/>
          </w:tblCellMar>
        </w:tblPrEx>
        <w:trPr>
          <w:trHeight w:val="33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3</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bookmarkStart w:id="5" w:name="_Hlk87559083"/>
            <w:r>
              <w:rPr>
                <w:rFonts w:hint="eastAsia" w:ascii="方正仿宋_GB2312" w:hAnsi="方正仿宋_GB2312" w:eastAsia="方正仿宋_GB2312" w:cs="方正仿宋_GB2312"/>
                <w:sz w:val="21"/>
                <w:szCs w:val="21"/>
              </w:rPr>
              <w:t>全自动砂滤罐</w:t>
            </w:r>
            <w:bookmarkEnd w:id="5"/>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一组</w:t>
            </w:r>
          </w:p>
        </w:tc>
      </w:tr>
      <w:tr>
        <w:tblPrEx>
          <w:tblCellMar>
            <w:top w:w="0" w:type="dxa"/>
            <w:left w:w="108" w:type="dxa"/>
            <w:bottom w:w="0" w:type="dxa"/>
            <w:right w:w="108" w:type="dxa"/>
          </w:tblCellMar>
        </w:tblPrEx>
        <w:trPr>
          <w:trHeight w:val="131"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4</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全自动树脂罐（软水器）</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一组</w:t>
            </w:r>
          </w:p>
        </w:tc>
      </w:tr>
      <w:tr>
        <w:tblPrEx>
          <w:tblCellMar>
            <w:top w:w="0" w:type="dxa"/>
            <w:left w:w="108" w:type="dxa"/>
            <w:bottom w:w="0" w:type="dxa"/>
            <w:right w:w="108" w:type="dxa"/>
          </w:tblCellMar>
        </w:tblPrEx>
        <w:trPr>
          <w:trHeight w:val="33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bookmarkStart w:id="6" w:name="_Hlk87559219"/>
            <w:r>
              <w:rPr>
                <w:rFonts w:hint="eastAsia" w:ascii="方正仿宋_GB2312" w:hAnsi="方正仿宋_GB2312" w:eastAsia="方正仿宋_GB2312" w:cs="方正仿宋_GB2312"/>
                <w:sz w:val="21"/>
                <w:szCs w:val="21"/>
              </w:rPr>
              <w:t>全自动活性炭罐</w:t>
            </w:r>
            <w:bookmarkEnd w:id="6"/>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一组</w:t>
            </w:r>
          </w:p>
        </w:tc>
      </w:tr>
      <w:tr>
        <w:tblPrEx>
          <w:tblCellMar>
            <w:top w:w="0" w:type="dxa"/>
            <w:left w:w="108" w:type="dxa"/>
            <w:bottom w:w="0" w:type="dxa"/>
            <w:right w:w="108" w:type="dxa"/>
          </w:tblCellMar>
        </w:tblPrEx>
        <w:trPr>
          <w:trHeight w:val="285"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6</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全自动反渗主机</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1套</w:t>
            </w:r>
          </w:p>
        </w:tc>
      </w:tr>
      <w:tr>
        <w:tblPrEx>
          <w:tblCellMar>
            <w:top w:w="0" w:type="dxa"/>
            <w:left w:w="108" w:type="dxa"/>
            <w:bottom w:w="0" w:type="dxa"/>
            <w:right w:w="108" w:type="dxa"/>
          </w:tblCellMar>
        </w:tblPrEx>
        <w:trPr>
          <w:trHeight w:val="285"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7</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血透机接头</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根据客户需求提供</w:t>
            </w:r>
          </w:p>
        </w:tc>
      </w:tr>
      <w:tr>
        <w:tblPrEx>
          <w:tblCellMar>
            <w:top w:w="0" w:type="dxa"/>
            <w:left w:w="108" w:type="dxa"/>
            <w:bottom w:w="0" w:type="dxa"/>
            <w:right w:w="108" w:type="dxa"/>
          </w:tblCellMar>
        </w:tblPrEx>
        <w:trPr>
          <w:trHeight w:val="285"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8</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管路</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rPr>
              <w:t>一套</w:t>
            </w:r>
          </w:p>
        </w:tc>
      </w:tr>
    </w:tbl>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4.</w:t>
      </w:r>
      <w:r>
        <w:rPr>
          <w:rFonts w:hint="eastAsia" w:ascii="仿宋_GB2312" w:hAnsi="仿宋_GB2312" w:cs="仿宋_GB2312"/>
          <w:lang w:eastAsia="zh-CN"/>
        </w:rPr>
        <w:t>技术参数：</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7" w:name="_Hlk175300762"/>
      <w:r>
        <w:rPr>
          <w:rFonts w:hint="eastAsia" w:ascii="仿宋_GB2312" w:hAnsi="仿宋_GB2312" w:cs="仿宋_GB2312"/>
          <w:lang w:eastAsia="zh-CN"/>
        </w:rPr>
        <w:t>水处理系统为血液透析专用单台双级反渗系统，非两台单级反渗主机或者两台双级反渗主机串联组装，设计成熟，运行可靠。全闭路循环管路供水，循环末端回流至反渗系统进水端。整个系统内无反渗水储水装置（直供水型）。</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 xml:space="preserve">★双级反渗主机的反渗膜单元≤6支。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▲一级反渗膜≤3支，二级反渗膜≤3支，使用成本和维护成本低。</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▲产水量在低水温情况下，6℃时≥2800L/小时</w:t>
      </w:r>
      <w:bookmarkStart w:id="8" w:name="_Hlk155358994"/>
      <w:r>
        <w:rPr>
          <w:rFonts w:hint="eastAsia" w:ascii="仿宋_GB2312" w:hAnsi="仿宋_GB2312" w:cs="仿宋_GB2312"/>
          <w:lang w:eastAsia="zh-CN"/>
        </w:rPr>
        <w:t>或15℃≥3780L/小时，</w:t>
      </w:r>
      <w:bookmarkEnd w:id="8"/>
      <w:r>
        <w:rPr>
          <w:rFonts w:hint="eastAsia" w:ascii="仿宋_GB2312" w:hAnsi="仿宋_GB2312" w:cs="仿宋_GB2312"/>
          <w:lang w:eastAsia="zh-CN"/>
        </w:rPr>
        <w:t xml:space="preserve">能保证血液透析中心在低温情况下用水需要。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全系统无死腔结构, 环路最小压力阻抗10bar，接头构造死腔最小空间符合6-d规则（GMP）。</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可设定环路尾端溢出阀的压力。如果没有反渗水排放和最大满负荷运行的话，环路尾端溢出阀的压力可设为 2.0-3.5bar。主循环管路的水流速度可达到0.5m/s。</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环路需配置稳压罐，配置故障观察窗，实时监测环路压力异常。当环路压力超过6bar，会通过压力开关，关闭系统压力。确保供水管路所要求的恒压和反渗水的充足的供应。</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反渗水管路，环路运行满负荷最大量消耗下，最小水流速度1m/s，最小环路尾端的压力2.5bar。</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 xml:space="preserve">▲反渗主机占地面积＜1.2m²，满足机房场地空间。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9" w:name="_Hlk155214772"/>
      <w:r>
        <w:rPr>
          <w:rFonts w:hint="eastAsia" w:ascii="仿宋_GB2312" w:hAnsi="仿宋_GB2312" w:cs="仿宋_GB2312"/>
          <w:lang w:eastAsia="zh-CN"/>
        </w:rPr>
        <w:t xml:space="preserve">★单台双级反渗主机，满负荷消耗量运行功率≤13kw。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▲单台双级反渗主机，重量≤950kg。</w:t>
      </w:r>
      <w:bookmarkEnd w:id="9"/>
      <w:r>
        <w:rPr>
          <w:rFonts w:hint="eastAsia" w:ascii="仿宋_GB2312" w:hAnsi="仿宋_GB2312" w:cs="仿宋_GB2312"/>
          <w:lang w:eastAsia="zh-CN"/>
        </w:rPr>
        <w:t xml:space="preserve">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 xml:space="preserve">316L不锈钢使用RA＜0.8um电镀.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 xml:space="preserve">★设备预期使用年限≥10年。 </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设备数据保留≥9年。</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▲双级反渗主机采用≥3个高压离心泵，提供足够的后备冗余，运行工作压力最大12-22bar，转速可达2850 rpm。泵壳全部使用耐腐蚀的高级不锈钢材料1.4408制成，保证反渗主机能够长时间连续运行与设备电磁兼容性安全，</w:t>
      </w:r>
      <w:bookmarkStart w:id="10" w:name="_Hlk150549143"/>
      <w:r>
        <w:rPr>
          <w:rFonts w:hint="eastAsia" w:ascii="仿宋_GB2312" w:hAnsi="仿宋_GB2312" w:cs="仿宋_GB2312"/>
          <w:lang w:eastAsia="zh-CN"/>
        </w:rPr>
        <w:t>并且在潮湿及化学消毒剂环境中保持不锈不腐。</w:t>
      </w:r>
      <w:bookmarkEnd w:id="10"/>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11" w:name="_Hlk175300871"/>
      <w:r>
        <w:rPr>
          <w:rFonts w:hint="eastAsia" w:ascii="仿宋_GB2312" w:hAnsi="仿宋_GB2312" w:cs="仿宋_GB2312"/>
          <w:lang w:eastAsia="zh-CN"/>
        </w:rPr>
        <w:t>▲具有经济运行模式。可根据当前用水量来打开或者关闭二级高压离心泵M2,M3。可设置范围0-5000L/H，根据设置范围用水量，可实现在血透机不耗反渗水时，反渗主机排水量也为0。</w:t>
      </w:r>
    </w:p>
    <w:bookmarkEnd w:id="11"/>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菜单引导的控制系统配有纯文本显示器便于操作员操作,4行LCD纯文本显示器允许随时调用和监测所有运行参数。</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反渗透主机具备脉动强冲功能，每60分钟进行脉动冲洗一次（可设定值，区间为0-180分钟），脉动强冲持续冲洗时间300s（可设定值，区间0-300s），通过周期性开关，所形成的高流速在管道壁上即生剪切力作用。确保有效抑制夜间不透析期间管路内细菌滋生。</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▲反渗膜壳：使用耐腐蚀的316L高级不锈钢（欧标：1.4571/1.4404）全自动焊接而成，而非各种软管或其他合成材质管路连接。</w:t>
      </w:r>
      <w:bookmarkStart w:id="12" w:name="_Hlk166918726"/>
      <w:r>
        <w:rPr>
          <w:rFonts w:hint="eastAsia" w:ascii="仿宋_GB2312" w:hAnsi="仿宋_GB2312" w:cs="仿宋_GB2312"/>
          <w:lang w:eastAsia="zh-CN"/>
        </w:rPr>
        <w:t>反渗膜壳最大耐压不低于25bar，</w:t>
      </w:r>
      <w:bookmarkEnd w:id="12"/>
      <w:r>
        <w:rPr>
          <w:rFonts w:hint="eastAsia" w:ascii="仿宋_GB2312" w:hAnsi="仿宋_GB2312" w:cs="仿宋_GB2312"/>
          <w:lang w:eastAsia="zh-CN"/>
        </w:rPr>
        <w:t>在潮湿及化学消毒剂环境中保持不锈不腐，防止泄露。</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反渗膜单元摆放模式：全部采用竖立式摆放，节省空间，便于更换反渗膜的操作，有利于反渗膜壳内部自下而上的冲洗，延长反渗膜使用寿命。</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反渗膜结构设计：独立的膜单元结构，每个膜壳只安装一根8040反渗膜，方便反渗膜组件的单独维修工作。</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无死腔膜壳结构设计：进水口、纯水出水口和浓水出水口均位于膜壳的上部，确保壳体内没有水的滞留，降低浓水侧细菌滋生风险。</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系统采用LCD文本显示系统和信号灯指示系统：“故障”灯亮时，在显示屏上同时出现故障的类型，显示每个故障时均有说明。文本显示器可查阅和变更所有关键参数，并可查询所有重要的运行时间，输入新的参数值受密码保护。</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13" w:name="_Hlk153212368"/>
      <w:r>
        <w:rPr>
          <w:rFonts w:hint="eastAsia" w:ascii="仿宋_GB2312" w:hAnsi="仿宋_GB2312" w:cs="仿宋_GB2312"/>
          <w:lang w:eastAsia="zh-CN"/>
        </w:rPr>
        <w:t>夜间模式功能：双级反渗机具备不透析期间夜间待机模式功能，夜间模式下能够定时自动冲洗反渗膜及输水环路。抑制夜间不透析期间管路内细菌滋生，且夜间运行下每90分钟冲洗一次（可设定值，区间0-360分钟）。</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关机冲洗功能：能够在从透析运行转变至夜间模式时进行关机冲洗程序。对系统进行全面冲洗，避免污染物和微生物在反渗膜上附着，夜间模式下的冲洗持续时间10分钟（可设定值，区间0-30分钟）。</w:t>
      </w:r>
    </w:p>
    <w:bookmarkEnd w:id="13"/>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高温排放功能：当反渗水温度超过35℃（可设定值，区间是20-35℃）时，系统自动排放浓水直到温度降到设定的低限温度以下。系统显示器上显示温度过高的报警，当超过设定温度持续3分钟以上时，系统关闭。</w:t>
      </w:r>
      <w:bookmarkStart w:id="14" w:name="_Hlk155214810"/>
    </w:p>
    <w:bookmarkEnd w:id="14"/>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15" w:name="_Hlk150157273"/>
      <w:r>
        <w:rPr>
          <w:rFonts w:hint="eastAsia" w:ascii="仿宋_GB2312" w:hAnsi="仿宋_GB2312" w:cs="仿宋_GB2312"/>
          <w:lang w:eastAsia="zh-CN"/>
        </w:rPr>
        <w:t>▲双级反渗主机产水量：预设定产量（反渗水量和软水消耗量的比例）的浓水排放；根据不同的水质，</w:t>
      </w:r>
      <w:bookmarkStart w:id="16" w:name="_Hlk175300271"/>
      <w:bookmarkStart w:id="17" w:name="_Hlk175300884"/>
      <w:bookmarkStart w:id="18" w:name="_Hlk153212427"/>
      <w:r>
        <w:rPr>
          <w:rFonts w:hint="eastAsia" w:ascii="仿宋_GB2312" w:hAnsi="仿宋_GB2312" w:cs="仿宋_GB2312"/>
          <w:lang w:eastAsia="zh-CN"/>
        </w:rPr>
        <w:t>在不降低反渗水质量或膜性能的情况下可设置高产水率</w:t>
      </w:r>
      <w:bookmarkEnd w:id="16"/>
      <w:r>
        <w:rPr>
          <w:rFonts w:hint="eastAsia" w:ascii="仿宋_GB2312" w:hAnsi="仿宋_GB2312" w:cs="仿宋_GB2312"/>
          <w:lang w:eastAsia="zh-CN"/>
        </w:rPr>
        <w:t>，</w:t>
      </w:r>
      <w:bookmarkEnd w:id="17"/>
      <w:r>
        <w:rPr>
          <w:rFonts w:hint="eastAsia" w:ascii="仿宋_GB2312" w:hAnsi="仿宋_GB2312" w:cs="仿宋_GB2312"/>
          <w:lang w:eastAsia="zh-CN"/>
        </w:rPr>
        <w:t>系统可设定范围是50%-90%</w:t>
      </w:r>
      <w:bookmarkEnd w:id="18"/>
      <w:r>
        <w:rPr>
          <w:rFonts w:hint="eastAsia" w:ascii="仿宋_GB2312" w:hAnsi="仿宋_GB2312" w:cs="仿宋_GB2312"/>
          <w:lang w:eastAsia="zh-CN"/>
        </w:rPr>
        <w:t>。</w:t>
      </w:r>
    </w:p>
    <w:bookmarkEnd w:id="7"/>
    <w:bookmarkEnd w:id="15"/>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19" w:name="_Hlk153212482"/>
      <w:r>
        <w:rPr>
          <w:rFonts w:hint="eastAsia" w:ascii="仿宋_GB2312" w:hAnsi="仿宋_GB2312" w:cs="仿宋_GB2312"/>
          <w:lang w:eastAsia="zh-CN"/>
        </w:rPr>
        <w:t>反渗水管路尺寸≥32mm*2.4mm，确保满负荷运行流量稳定</w:t>
      </w:r>
      <w:bookmarkEnd w:id="19"/>
      <w:r>
        <w:rPr>
          <w:rFonts w:hint="eastAsia" w:ascii="仿宋_GB2312" w:hAnsi="仿宋_GB2312" w:cs="仿宋_GB2312"/>
          <w:lang w:eastAsia="zh-CN"/>
        </w:rPr>
        <w:t>，同时不锈不腐。</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具备SFDA国产医疗器械注册证。注册证上结构与组成一栏明确注明整套系统包含前处理、反渗主机、反渗水管路和软件组成。</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所有反渗水主管路与血透机之间采用压力差分技术和U型管连接，反渗水出口模块采用U型无死腔出水口，管路中无死腔存在（有别于普通T型管连接方式），确保夜间不透析期间管路系统从干管到支管都无水滞留，避免细菌滋生.且反渗水出口采用快速接头的方式，快速接头的材质为316L不锈钢，具有自动锁闭功能（即血透机断开后，反渗水自动停止流出，无需额外增加球阀）。</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全自动砂滤（铁质）过滤器：1套，带时间控制全自动/手动反冲装置，</w:t>
      </w:r>
      <w:bookmarkStart w:id="20" w:name="_Hlk150549169"/>
      <w:r>
        <w:rPr>
          <w:rFonts w:hint="eastAsia" w:ascii="仿宋_GB2312" w:hAnsi="仿宋_GB2312" w:cs="仿宋_GB2312"/>
          <w:lang w:eastAsia="zh-CN"/>
        </w:rPr>
        <w:t>使用高级1.4301不锈钢波纹管连接</w:t>
      </w:r>
      <w:bookmarkEnd w:id="20"/>
      <w:r>
        <w:rPr>
          <w:rFonts w:hint="eastAsia" w:ascii="仿宋_GB2312" w:hAnsi="仿宋_GB2312" w:cs="仿宋_GB2312"/>
          <w:lang w:eastAsia="zh-CN"/>
        </w:rPr>
        <w:t>，采用不锈钢三通阀，内置取样口，配置多种滤料，添加锰砂，去除水中的铁锰杂质。单个罐体最高工作压力150psi。</w:t>
      </w:r>
      <w:bookmarkStart w:id="21" w:name="_Hlk153821024"/>
      <w:r>
        <w:rPr>
          <w:rFonts w:hint="eastAsia" w:ascii="仿宋_GB2312" w:hAnsi="仿宋_GB2312" w:cs="仿宋_GB2312"/>
          <w:lang w:eastAsia="zh-CN"/>
        </w:rPr>
        <w:t>罐体规格</w:t>
      </w:r>
      <w:r>
        <w:rPr>
          <w:rFonts w:hint="eastAsia" w:ascii="仿宋_GB2312" w:hAnsi="仿宋_GB2312" w:cs="仿宋_GB2312"/>
          <w:lang w:val="en-US" w:eastAsia="zh-CN"/>
        </w:rPr>
        <w:t>≤</w:t>
      </w:r>
      <w:r>
        <w:rPr>
          <w:rFonts w:hint="eastAsia" w:ascii="仿宋_GB2312" w:hAnsi="仿宋_GB2312" w:cs="仿宋_GB2312"/>
          <w:lang w:eastAsia="zh-CN"/>
        </w:rPr>
        <w:t>30（inch）*72（inch）。</w:t>
      </w:r>
      <w:bookmarkEnd w:id="21"/>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全自动除氯（活性炭）过滤器：1套，带时间控制全自动/手动反冲装置，使用高级1.4301不锈钢波纹管连接，采用不锈钢三通阀，内置取样口，碘吸附值≥1100的活性炭。单个罐体最高工作压力150psi。罐体规格</w:t>
      </w:r>
      <w:r>
        <w:rPr>
          <w:rFonts w:hint="eastAsia" w:ascii="仿宋_GB2312" w:hAnsi="仿宋_GB2312" w:cs="仿宋_GB2312"/>
          <w:lang w:val="en-US" w:eastAsia="zh-CN"/>
        </w:rPr>
        <w:t>≤</w:t>
      </w:r>
      <w:r>
        <w:rPr>
          <w:rFonts w:hint="eastAsia" w:ascii="仿宋_GB2312" w:hAnsi="仿宋_GB2312" w:cs="仿宋_GB2312"/>
          <w:lang w:eastAsia="zh-CN"/>
        </w:rPr>
        <w:t>30（inch）*72（inch）。</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全自动软水器：1套，带流量控制全自动/手动的反冲/再生装置，双罐配置，盐桶数量不超过1个。使用高级1.4301不锈钢波纹管连接，采用不锈钢三通阀，内置取样口，使用树脂的工作交换容量≥2.0eq/l。单个罐体最高工作压力150psi。罐体规格</w:t>
      </w:r>
      <w:r>
        <w:rPr>
          <w:rFonts w:hint="eastAsia" w:ascii="仿宋_GB2312" w:hAnsi="仿宋_GB2312" w:cs="仿宋_GB2312"/>
          <w:lang w:val="en-US" w:eastAsia="zh-CN"/>
        </w:rPr>
        <w:t>≤</w:t>
      </w:r>
      <w:r>
        <w:rPr>
          <w:rFonts w:hint="eastAsia" w:ascii="仿宋_GB2312" w:hAnsi="仿宋_GB2312" w:cs="仿宋_GB2312"/>
          <w:lang w:eastAsia="zh-CN"/>
        </w:rPr>
        <w:t>18（inch）*65（inch）。</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树脂罐（软水器）采用双罐并联设计：当一树脂罐树脂再生时，可用另一树脂罐，避免直接用硬水进行反渗透，导致反渗膜的使用寿命降低。</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树脂罐双罐设计，并且只由一个多路控制头控制，可有效避免双树脂罐同时消耗盐水使用。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22" w:name="_Hlk166921451"/>
      <w:r>
        <w:rPr>
          <w:rFonts w:hint="eastAsia" w:ascii="仿宋_GB2312" w:hAnsi="仿宋_GB2312" w:cs="仿宋_GB2312"/>
          <w:lang w:eastAsia="zh-CN"/>
        </w:rPr>
        <w:t>配备漏水检测装置，黄铜材质，介质温度范围-5℃-80℃，压力0-6bar，敏感性高，声光报警信号强。可在有泄露情况下发出声光电报警，并关闭电磁阀，阻断水流。</w:t>
      </w:r>
    </w:p>
    <w:bookmarkEnd w:id="22"/>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前处理增压系统采用变频控制，动态稳压，全自动加压泵组件：2台。</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bookmarkStart w:id="23" w:name="_Hlk166918622"/>
      <w:r>
        <w:rPr>
          <w:rFonts w:hint="eastAsia" w:ascii="仿宋_GB2312" w:hAnsi="仿宋_GB2312" w:cs="仿宋_GB2312"/>
          <w:lang w:eastAsia="zh-CN"/>
        </w:rPr>
        <w:t>前置全自动反冲过滤器（配置可反冲的不锈钢丝网过滤器，自动反冲。不使用滤芯式过滤器，无需频繁更换滤芯）：1套，前处理系统的前置过滤器采用全自动反冲过滤器，可以有效降低滤芯更换成本。</w:t>
      </w:r>
      <w:bookmarkStart w:id="24" w:name="_Hlk153212461"/>
      <w:r>
        <w:rPr>
          <w:rFonts w:hint="eastAsia" w:ascii="仿宋_GB2312" w:hAnsi="仿宋_GB2312" w:cs="仿宋_GB2312"/>
          <w:lang w:eastAsia="zh-CN"/>
        </w:rPr>
        <w:t>并保护前处理加压泵。</w:t>
      </w:r>
      <w:bookmarkEnd w:id="24"/>
    </w:p>
    <w:bookmarkEnd w:id="23"/>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全自动活性炭罐位置：放置在树脂罐（软水器）之后，保证余氯存在于前处理整个过程中，避免细菌滋生，保证水质安全，保护反渗膜。</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罐体之间摆放方式流程符合2021版sop要求前处理摆放设计。</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25" w:name="_Toc21409"/>
      <w:r>
        <w:rPr>
          <w:rFonts w:hint="eastAsia" w:ascii="黑体" w:hAnsi="黑体" w:eastAsia="黑体" w:cs="黑体"/>
          <w:lang w:val="en-US" w:eastAsia="zh-CN"/>
        </w:rPr>
        <w:t>四、询价材料设备供应商要求</w:t>
      </w:r>
      <w:bookmarkEnd w:id="25"/>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一）</w:t>
      </w:r>
      <w:r>
        <w:rPr>
          <w:rFonts w:hint="eastAsia" w:ascii="仿宋_GB2312" w:hAnsi="仿宋_GB2312" w:eastAsia="仿宋_GB2312" w:cs="仿宋_GB2312"/>
          <w:lang w:val="en-US" w:eastAsia="zh-CN"/>
        </w:rPr>
        <w:t>询价项目交付（实施）的时间（期限）和地点（范围）：</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1.交付或实施的时间：</w:t>
      </w:r>
      <w:r>
        <w:rPr>
          <w:rFonts w:hint="eastAsia" w:ascii="仿宋_GB2312" w:hAnsi="仿宋_GB2312" w:cs="仿宋_GB2312"/>
          <w:lang w:val="en-US" w:eastAsia="zh-CN"/>
        </w:rPr>
        <w:t>采购人</w:t>
      </w:r>
      <w:r>
        <w:rPr>
          <w:rFonts w:hint="eastAsia" w:ascii="仿宋_GB2312" w:hAnsi="仿宋_GB2312" w:eastAsia="仿宋_GB2312" w:cs="仿宋_GB2312"/>
        </w:rPr>
        <w:t>根据计划要求提前以书面形式《排产通知联络函》通知成交供应商进行排产并确认排产</w:t>
      </w:r>
      <w:r>
        <w:rPr>
          <w:rFonts w:hint="eastAsia" w:ascii="仿宋_GB2312" w:hAnsi="仿宋_GB2312" w:cs="仿宋_GB2312"/>
          <w:lang w:val="en-US" w:eastAsia="zh-CN"/>
        </w:rPr>
        <w:t>纯水设备</w:t>
      </w:r>
      <w:r>
        <w:rPr>
          <w:rFonts w:hint="eastAsia" w:ascii="仿宋_GB2312" w:hAnsi="仿宋_GB2312" w:eastAsia="仿宋_GB2312" w:cs="仿宋_GB2312"/>
        </w:rPr>
        <w:t>套数及规格参数(</w:t>
      </w:r>
      <w:r>
        <w:rPr>
          <w:rFonts w:hint="eastAsia" w:ascii="仿宋_GB2312" w:hAnsi="仿宋_GB2312" w:cs="仿宋_GB2312"/>
          <w:lang w:val="en-US" w:eastAsia="zh-CN"/>
        </w:rPr>
        <w:t>采购人</w:t>
      </w:r>
      <w:r>
        <w:rPr>
          <w:rFonts w:hint="eastAsia" w:ascii="仿宋_GB2312" w:hAnsi="仿宋_GB2312" w:eastAsia="仿宋_GB2312" w:cs="仿宋_GB2312"/>
        </w:rPr>
        <w:t>根据施工进度情况确定每次排产的</w:t>
      </w:r>
      <w:r>
        <w:rPr>
          <w:rFonts w:hint="eastAsia" w:ascii="仿宋_GB2312" w:hAnsi="仿宋_GB2312" w:cs="仿宋_GB2312"/>
          <w:lang w:val="en-US" w:eastAsia="zh-CN"/>
        </w:rPr>
        <w:t>纯水设备</w:t>
      </w:r>
      <w:r>
        <w:rPr>
          <w:rFonts w:hint="eastAsia" w:ascii="仿宋_GB2312" w:hAnsi="仿宋_GB2312" w:eastAsia="仿宋_GB2312" w:cs="仿宋_GB2312"/>
        </w:rPr>
        <w:t>套数及规格参数)。</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2.成交供应商收到排产通知及双方确认全部技术规格、参数及设计图纸，在15个工作日内制造完并处于待发货状态。</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3.合同预计生产周期为15</w:t>
      </w:r>
      <w:r>
        <w:rPr>
          <w:rFonts w:hint="eastAsia" w:ascii="仿宋_GB2312" w:hAnsi="仿宋_GB2312" w:cs="仿宋_GB2312"/>
          <w:lang w:val="en-US" w:eastAsia="zh-CN"/>
        </w:rPr>
        <w:t>个</w:t>
      </w:r>
      <w:r>
        <w:rPr>
          <w:rFonts w:hint="eastAsia" w:ascii="仿宋_GB2312" w:hAnsi="仿宋_GB2312" w:eastAsia="仿宋_GB2312" w:cs="仿宋_GB2312"/>
        </w:rPr>
        <w:t>工作日，排产前必须提供经询价人确认的《排产确认函》，必须满足项目整体工期要求。如因非成交供应商原因导致建设延期的，相关供货期限相应顺延。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rPr>
        <w:t>4.交付或实施的地点：</w:t>
      </w:r>
      <w:r>
        <w:rPr>
          <w:rFonts w:hint="eastAsia" w:ascii="仿宋_GB2312" w:hAnsi="仿宋_GB2312" w:cs="仿宋_GB2312"/>
          <w:lang w:val="en-US" w:eastAsia="zh-CN"/>
        </w:rPr>
        <w:t>采购人</w:t>
      </w:r>
      <w:r>
        <w:rPr>
          <w:rFonts w:hint="eastAsia" w:ascii="仿宋_GB2312" w:hAnsi="仿宋_GB2312" w:eastAsia="仿宋_GB2312" w:cs="仿宋_GB2312"/>
        </w:rPr>
        <w:t>指定点，茂名市茂南区站南片区中医院新院区项目施工现场</w:t>
      </w:r>
      <w:r>
        <w:rPr>
          <w:rFonts w:hint="eastAsia" w:ascii="仿宋_GB2312" w:hAnsi="仿宋_GB2312" w:eastAsia="仿宋_GB2312" w:cs="仿宋_GB2312"/>
          <w:lang w:eastAsia="zh-CN"/>
        </w:rPr>
        <w:t>。</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5.</w:t>
      </w:r>
      <w:r>
        <w:rPr>
          <w:rFonts w:hint="eastAsia" w:ascii="仿宋_GB2312" w:hAnsi="仿宋_GB2312" w:eastAsia="仿宋_GB2312" w:cs="仿宋_GB2312"/>
        </w:rPr>
        <w:t>其它要求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①</w:t>
      </w:r>
      <w:r>
        <w:rPr>
          <w:rFonts w:hint="eastAsia" w:ascii="仿宋_GB2312" w:hAnsi="仿宋_GB2312" w:eastAsia="仿宋_GB2312" w:cs="仿宋_GB2312"/>
        </w:rPr>
        <w:t>整个水处理系统免费安装。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②</w:t>
      </w:r>
      <w:r>
        <w:rPr>
          <w:rFonts w:hint="eastAsia" w:ascii="仿宋_GB2312" w:hAnsi="仿宋_GB2312" w:eastAsia="仿宋_GB2312" w:cs="仿宋_GB2312"/>
        </w:rPr>
        <w:t>系统操作及维修培训。</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③</w:t>
      </w:r>
      <w:r>
        <w:rPr>
          <w:rFonts w:hint="eastAsia" w:ascii="仿宋_GB2312" w:hAnsi="仿宋_GB2312" w:eastAsia="仿宋_GB2312" w:cs="仿宋_GB2312"/>
        </w:rPr>
        <w:t>保修要求：</w:t>
      </w:r>
      <w:r>
        <w:rPr>
          <w:rFonts w:hint="eastAsia" w:ascii="仿宋_GB2312" w:hAnsi="仿宋_GB2312" w:cs="仿宋_GB2312"/>
          <w:lang w:val="en-US" w:eastAsia="zh-CN"/>
        </w:rPr>
        <w:t>2</w:t>
      </w:r>
      <w:r>
        <w:rPr>
          <w:rFonts w:hint="eastAsia" w:ascii="仿宋_GB2312" w:hAnsi="仿宋_GB2312" w:eastAsia="仿宋_GB2312" w:cs="仿宋_GB2312"/>
        </w:rPr>
        <w:t>年，2小时响应客户需求，24小时内排除故障。</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④</w:t>
      </w:r>
      <w:r>
        <w:rPr>
          <w:rFonts w:hint="eastAsia" w:ascii="仿宋_GB2312" w:hAnsi="仿宋_GB2312" w:eastAsia="仿宋_GB2312" w:cs="仿宋_GB2312"/>
        </w:rPr>
        <w:t>保修期外的维修要求：24小时内排除故障，维修费用优惠。</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⑤</w:t>
      </w:r>
      <w:r>
        <w:rPr>
          <w:rFonts w:hint="eastAsia" w:ascii="仿宋_GB2312" w:hAnsi="仿宋_GB2312" w:eastAsia="仿宋_GB2312" w:cs="仿宋_GB2312"/>
        </w:rPr>
        <w:t>本省在用血液透析中心客户满足10家以上，本省三甲医院客户装机量5家以上。</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⑥设备厂家需要在本省有驻地直属厂家售后工程师。（需提供当地社保证明）</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二）设备要求：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1.货物为原制造商制造的全新产品，整机无污染，无侵权行为、表面无划损、无任何缺陷隐患，在中国境内可依常规安全合法使用。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2.货物为原厂商未启封全新包装，具出厂合格证，序列号、包装箱号与出厂批号一致，并可追索查阅。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有关键主机设备的用户手册、保修手册、有关单证资料及配备件、随机工具等，使用操作及安全须知等重要资料应附有中文说明。</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三）合同设备验收：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1.全部合同货物到达交货地点且询价人收到验收申请后24小时内进行验收。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2.设备验收在询价人和成交供应商双方共同参与下按国家有关规定、规范以及询价通知书的质量要求和技术指标、响应文件及承诺与本合同约定标准进行验收；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3.验收时如发现所交付的设备有短装、次品、损坏或其它不符合本合同规定之情形者，询价人应作出详尽的现场记录，或由询价人、成交供应商双方签署备忘录。此现场记录或备忘录可用作补充、缺失和更换损坏部件的有效证据。由此产生的时间延误与有关费用由成交供应商承担，验收期限相应顺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4.如果合同设备运输和安装过程中因事故造成货物短缺、损坏，成交供应商应及时安排补货、换货，以保证合同设备安装的成功完成。换货的相关费用由成交供应商承担；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5.成交供应商在运输途中要严格按照国家交通及环保有关要求执行，采取合理安全环保的运输方式，如发生污染环境、交通事故等事件及其风险、责任，概由成交供应商承担。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6.若成交供应商承担不能在约定的时间内交货、质量不合格，影响采购人实际工程进度的，采购人有权终止当批次供货需求或合同后续全部需求，并有权追究成交供应商因逾期交货、质量瑕疵所造成的损失。</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7.成交供应商保证合同项下提供的设备不侵犯任何第三方的专利、商标或版权。否则，成交供应商须承担对第三方的专利或版权的侵权责任并承担因此而发生的所有费用。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四）交付验收标准依次序对照适用标准：</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1.符合满足国家相关规范、图集、行业标准，并满足设计图纸和相关文件的技术参数要求；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2.符合询价通知书和响应承诺中采购人认可的合理最佳配置、参数及各项要求；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3.采购人按国家有关规定、规范进行验收，必要时邀请相关的专业人员或机构参与验收。因货物质量问题发生争议时，由本地质量技术监督部门鉴定。货物符合质量技术标准的，鉴定费由询价人承担；否则鉴定费由成交供应商承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（五）包装和运输：</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1.成交供应商应提供运至交付地点所需要的包装，包装应符合经济、牢固、美观的要求，采取防潮、防晒、防锈、防振及防止其它损坏的必要措施，以防止货物在运转中损坏或变质。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2.包装必须要符合相关法律、法规的要求，包括与环境、职业健康和安全有关的法律、法规标准。</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3.运输包装应根据产品的特点及国家相关标准标注有相应的运输标志。</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1"/>
        <w:rPr>
          <w:rFonts w:hint="default" w:ascii="仿宋_GB2312" w:hAnsi="仿宋_GB2312" w:eastAsia="仿宋_GB2312" w:cs="仿宋_GB2312"/>
          <w:lang w:val="en-US" w:eastAsia="zh-CN"/>
        </w:rPr>
      </w:pPr>
      <w:r>
        <w:rPr>
          <w:rFonts w:hint="eastAsia" w:ascii="仿宋_GB2312" w:hAnsi="仿宋_GB2312" w:cs="仿宋_GB2312"/>
          <w:lang w:val="en-US" w:eastAsia="zh-CN"/>
        </w:rPr>
        <w:t>4.成交供应商负责将货物运输并卸载到询价人指定地点。</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六）售后服务（保修期）：</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1.质量保修范围：由于材料、工艺等问题而导致的产品功能失效、性能下降等缺陷(属于自然力或战争等不可抗拒力、人为因素等造成的除外)。</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2.保修期为 2 年，保修期自茂名市中医院新院区竣工验收之日起算，保修期内成交供应商对所供货物实行包修、包换、包退、包维护保养，期满后可同时提供终身(免费/有偿)维修保养服务。</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cs="仿宋_GB2312"/>
          <w:lang w:val="en-US" w:eastAsia="zh-CN"/>
        </w:rPr>
      </w:pPr>
      <w:r>
        <w:rPr>
          <w:rFonts w:hint="eastAsia" w:ascii="仿宋_GB2312" w:hAnsi="仿宋_GB2312" w:cs="仿宋_GB2312"/>
          <w:lang w:val="en-US" w:eastAsia="zh-CN"/>
        </w:rPr>
        <w:t>3.其他要求：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①</w:t>
      </w:r>
      <w:r>
        <w:rPr>
          <w:rFonts w:hint="eastAsia" w:ascii="仿宋_GB2312" w:hAnsi="仿宋_GB2312" w:eastAsia="仿宋_GB2312" w:cs="仿宋_GB2312"/>
        </w:rPr>
        <w:t>整个水处理系统免费安装。</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②</w:t>
      </w:r>
      <w:r>
        <w:rPr>
          <w:rFonts w:hint="eastAsia" w:ascii="仿宋_GB2312" w:hAnsi="仿宋_GB2312" w:eastAsia="仿宋_GB2312" w:cs="仿宋_GB2312"/>
        </w:rPr>
        <w:t>系统操作及维修培训。</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③</w:t>
      </w:r>
      <w:r>
        <w:rPr>
          <w:rFonts w:hint="eastAsia" w:ascii="仿宋_GB2312" w:hAnsi="仿宋_GB2312" w:eastAsia="仿宋_GB2312" w:cs="仿宋_GB2312"/>
        </w:rPr>
        <w:t>保修要求：</w:t>
      </w:r>
      <w:r>
        <w:rPr>
          <w:rFonts w:hint="eastAsia" w:ascii="仿宋_GB2312" w:hAnsi="仿宋_GB2312" w:cs="仿宋_GB2312"/>
          <w:lang w:val="en-US" w:eastAsia="zh-CN"/>
        </w:rPr>
        <w:t>2</w:t>
      </w:r>
      <w:r>
        <w:rPr>
          <w:rFonts w:hint="eastAsia" w:ascii="仿宋_GB2312" w:hAnsi="仿宋_GB2312" w:eastAsia="仿宋_GB2312" w:cs="仿宋_GB2312"/>
        </w:rPr>
        <w:t>年，2小时响应客户需求，24小时内排除故障。</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④</w:t>
      </w:r>
      <w:r>
        <w:rPr>
          <w:rFonts w:hint="eastAsia" w:ascii="仿宋_GB2312" w:hAnsi="仿宋_GB2312" w:eastAsia="仿宋_GB2312" w:cs="仿宋_GB2312"/>
        </w:rPr>
        <w:t>保修期外的维修要求：24小时内排除故障，维修费用优惠。</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七）保险：</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货物交付运输前，采购方已经支付部分或全部款项的，成交供应商应当办理以采购方为受益人的货物“一切险”，投保金额不少于采购方已经支付款项总额，保险保至项目最终交货地点。</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eastAsia="zh-CN"/>
        </w:rPr>
        <w:t>（</w:t>
      </w:r>
      <w:r>
        <w:rPr>
          <w:rFonts w:hint="eastAsia" w:ascii="仿宋_GB2312" w:hAnsi="仿宋_GB2312" w:cs="仿宋_GB2312"/>
          <w:lang w:val="en-US" w:eastAsia="zh-CN"/>
        </w:rPr>
        <w:t>八）付款及结算方式</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1.工程量计算规则:《建设工程工程量清单计价规范》(GB50500-2013)</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2.结算方式：按采购方查验签收的实际进场的合格产品数量乘以合同含税单价作结算。</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1"/>
        <w:rPr>
          <w:rFonts w:hint="eastAsia" w:ascii="仿宋_GB2312" w:hAnsi="仿宋_GB2312" w:cs="仿宋_GB2312"/>
          <w:lang w:val="en-US" w:eastAsia="zh-CN"/>
        </w:rPr>
      </w:pPr>
      <w:r>
        <w:rPr>
          <w:rFonts w:hint="eastAsia" w:ascii="仿宋_GB2312" w:hAnsi="仿宋_GB2312" w:cs="仿宋_GB2312"/>
          <w:lang w:val="en-US" w:eastAsia="zh-CN"/>
        </w:rPr>
        <w:t>3.付款方式：月结。</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（1）成交供应商与采购方双方每月30日前对上个月已供合格产品数量、金额进行对账结算确认，每月30日前向成交供应商支付上个月供应材料货款金额的80%，余下20%货款作为质量与违约保证金。</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（2）当工程完成结算并经发包人、监理人、造价咨询单位、茂名市投资审核中心、市财政局审定后，发包人按相关程序支付至审定工程结算造价的97%，扣留审定工程造价的3%作为质量保修金。</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4.供应商须在采购方根据本合同支付各种款项前，依法按照适用的增值税13%税率向采购方开具与结算金额一致的合法有效的增值税专用发票，以及近期的增值税《税收完税证明》。供应商提供的增值税专用发票若存在虚假情况的，由此造成采购方的一切经济损失和法律责任均由供应商承担，供应商尚须按虚假发票面额支付违约金给采购方。</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5.每次按合同支付款项前，成交供应商应向采购方提供与支付金额相符的有效发票，且收款方、出具发票方、合同供应商均必须与成交供应商名称一致；</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1"/>
        <w:rPr>
          <w:rFonts w:hint="default" w:ascii="仿宋_GB2312" w:hAnsi="仿宋_GB2312" w:eastAsia="仿宋_GB2312" w:cs="仿宋_GB2312"/>
          <w:lang w:val="en-US" w:eastAsia="zh-CN"/>
        </w:rPr>
      </w:pPr>
      <w:r>
        <w:rPr>
          <w:rFonts w:hint="eastAsia" w:ascii="仿宋_GB2312" w:hAnsi="仿宋_GB2312" w:cs="仿宋_GB2312"/>
          <w:lang w:val="en-US" w:eastAsia="zh-CN"/>
        </w:rPr>
        <w:t>6.付款方式：采用银行转账形式。</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26" w:name="_Toc17666"/>
      <w:r>
        <w:rPr>
          <w:rFonts w:hint="eastAsia" w:ascii="黑体" w:hAnsi="黑体" w:eastAsia="黑体" w:cs="黑体"/>
          <w:lang w:val="en-US" w:eastAsia="zh-CN"/>
        </w:rPr>
        <w:t>五、评审方法与标准</w:t>
      </w:r>
      <w:bookmarkEnd w:id="26"/>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一）</w:t>
      </w:r>
      <w:r>
        <w:rPr>
          <w:rFonts w:hint="eastAsia" w:ascii="仿宋_GB2312" w:hAnsi="仿宋_GB2312" w:eastAsia="仿宋_GB2312" w:cs="仿宋_GB2312"/>
        </w:rPr>
        <w:t>响应供应商必须严格按照《资格、符合性审查表》的评审内容的要求如实提供材料并应加盖响应供应商公章，若响应供应商不满足《资格、符合性审查表》中任何情形之一的，则其响应无效。</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二）</w:t>
      </w:r>
      <w:r>
        <w:rPr>
          <w:rFonts w:hint="eastAsia" w:ascii="仿宋_GB2312" w:hAnsi="仿宋_GB2312" w:eastAsia="仿宋_GB2312" w:cs="仿宋_GB2312"/>
        </w:rPr>
        <w:t>本项目按各包组进行独立评审，按包组的自然顺序进行评审。</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三）</w:t>
      </w:r>
      <w:r>
        <w:rPr>
          <w:rFonts w:hint="eastAsia" w:ascii="仿宋_GB2312" w:hAnsi="仿宋_GB2312" w:eastAsia="仿宋_GB2312" w:cs="仿宋_GB2312"/>
        </w:rPr>
        <w:t>询价小组对响应文件进行资格、符合性评审，具体条款见《资格、符合性评审表》。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eastAsia="zh-CN"/>
        </w:rPr>
        <w:t>（</w:t>
      </w:r>
      <w:r>
        <w:rPr>
          <w:rFonts w:hint="eastAsia" w:ascii="仿宋_GB2312" w:hAnsi="仿宋_GB2312" w:cs="仿宋_GB2312"/>
          <w:lang w:val="en-US" w:eastAsia="zh-CN"/>
        </w:rPr>
        <w:t>四）</w:t>
      </w:r>
      <w:r>
        <w:rPr>
          <w:rFonts w:hint="eastAsia" w:ascii="仿宋_GB2312" w:hAnsi="仿宋_GB2312" w:eastAsia="仿宋_GB2312" w:cs="仿宋_GB2312"/>
        </w:rPr>
        <w:t>通过资格、符合性审查的响应供应商进入价格评审，询价小组对响应供应商的报价进行评审，并出具评审报告。</w:t>
      </w:r>
    </w:p>
    <w:p>
      <w:pPr>
        <w:tabs>
          <w:tab w:val="left" w:pos="630"/>
        </w:tabs>
        <w:autoSpaceDE w:val="0"/>
        <w:autoSpaceDN w:val="0"/>
        <w:adjustRightInd w:val="0"/>
        <w:spacing w:line="360" w:lineRule="auto"/>
        <w:jc w:val="center"/>
        <w:outlineLvl w:val="1"/>
        <w:rPr>
          <w:rFonts w:hint="eastAsia" w:ascii="方正小标宋简体" w:hAnsi="方正小标宋简体" w:eastAsia="方正小标宋简体" w:cs="方正小标宋简体"/>
          <w:b w:val="0"/>
          <w:bCs/>
          <w:sz w:val="24"/>
        </w:rPr>
      </w:pPr>
      <w:bookmarkStart w:id="27" w:name="_Toc27995411"/>
      <w:bookmarkStart w:id="28" w:name="_Toc28101993"/>
      <w:bookmarkStart w:id="29" w:name="_Toc28102952"/>
      <w:bookmarkStart w:id="30" w:name="_Toc28101182"/>
      <w:bookmarkStart w:id="31" w:name="_Toc27038"/>
      <w:bookmarkStart w:id="32" w:name="_Toc28101221"/>
      <w:bookmarkStart w:id="33" w:name="_Toc28103013"/>
      <w:bookmarkStart w:id="34" w:name="_Toc27995122"/>
      <w:bookmarkStart w:id="35" w:name="_Toc27994541"/>
      <w:r>
        <w:rPr>
          <w:rFonts w:hint="eastAsia" w:ascii="方正小标宋简体" w:hAnsi="方正小标宋简体" w:eastAsia="方正小标宋简体" w:cs="方正小标宋简体"/>
          <w:b w:val="0"/>
          <w:bCs/>
          <w:sz w:val="24"/>
        </w:rPr>
        <w:t>资格、符合性评审表</w:t>
      </w:r>
      <w:bookmarkEnd w:id="27"/>
      <w:bookmarkEnd w:id="28"/>
      <w:bookmarkEnd w:id="29"/>
      <w:bookmarkEnd w:id="30"/>
      <w:bookmarkEnd w:id="31"/>
      <w:bookmarkEnd w:id="32"/>
      <w:bookmarkEnd w:id="33"/>
      <w:bookmarkEnd w:id="34"/>
      <w:bookmarkEnd w:id="35"/>
    </w:p>
    <w:tbl>
      <w:tblPr>
        <w:tblStyle w:val="6"/>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7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737" w:type="dxa"/>
            <w:tcBorders>
              <w:top w:val="single" w:color="auto" w:sz="12" w:space="0"/>
              <w:left w:val="single" w:color="auto" w:sz="12"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r>
              <w:rPr>
                <w:rFonts w:hint="eastAsia" w:ascii="方正仿宋_GB18030" w:hAnsi="方正仿宋_GB18030" w:eastAsia="方正仿宋_GB18030" w:cs="方正仿宋_GB18030"/>
                <w:b/>
                <w:sz w:val="24"/>
              </w:rPr>
              <w:t>序号</w:t>
            </w:r>
          </w:p>
        </w:tc>
        <w:tc>
          <w:tcPr>
            <w:tcW w:w="7422" w:type="dxa"/>
            <w:tcBorders>
              <w:top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r>
              <w:rPr>
                <w:rFonts w:hint="eastAsia" w:ascii="方正仿宋_GB18030" w:hAnsi="方正仿宋_GB18030" w:eastAsia="方正仿宋_GB18030" w:cs="方正仿宋_GB18030"/>
                <w:b/>
                <w:sz w:val="24"/>
              </w:rPr>
              <w:t>评审内容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top w:val="single" w:color="auto" w:sz="12" w:space="0"/>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top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具备询价通知书中规定资格要求的及资格证明文件齐全；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bCs/>
                <w:sz w:val="24"/>
                <w:szCs w:val="21"/>
              </w:rPr>
              <w:t>响应供应商资格声明函</w:t>
            </w:r>
            <w:r>
              <w:rPr>
                <w:rFonts w:hint="eastAsia" w:ascii="方正仿宋_GB18030" w:hAnsi="方正仿宋_GB18030" w:eastAsia="方正仿宋_GB18030" w:cs="方正仿宋_GB18030"/>
                <w:sz w:val="24"/>
              </w:rPr>
              <w:t>已提交并符合询价通知书要求的；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ind w:left="12" w:hanging="12" w:hangingChars="5"/>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按照询价通知书规定要求签署、盖章且响应文件有法定代表人签字或盖个人名章（或签字人有法定代表人有效授权书）的；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ind w:left="12" w:hanging="12" w:hangingChars="5"/>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询价函已提交并符合询价通知书要求的，且询价有效期不少于询价通知书中载明的询价有效期；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highlight w:val="none"/>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b/>
                <w:bCs/>
                <w:color w:val="595959"/>
                <w:sz w:val="24"/>
                <w:highlight w:val="none"/>
                <w:shd w:val="pct10" w:color="auto" w:fill="FFFFFF"/>
              </w:rPr>
            </w:pPr>
            <w:r>
              <w:rPr>
                <w:rFonts w:hint="eastAsia" w:ascii="方正仿宋_GB18030" w:hAnsi="方正仿宋_GB18030" w:eastAsia="方正仿宋_GB18030" w:cs="方正仿宋_GB18030"/>
                <w:sz w:val="24"/>
                <w:highlight w:val="none"/>
              </w:rPr>
              <w:t>响应文件完全满足询价通知书中标注★号条款的；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b/>
                <w:bCs/>
                <w:color w:val="595959"/>
                <w:sz w:val="24"/>
                <w:shd w:val="pct10" w:color="auto" w:fill="FFFFFF"/>
              </w:rPr>
            </w:pPr>
            <w:r>
              <w:rPr>
                <w:rFonts w:hint="eastAsia" w:ascii="方正仿宋_GB18030" w:hAnsi="方正仿宋_GB18030" w:eastAsia="方正仿宋_GB18030" w:cs="方正仿宋_GB18030"/>
                <w:sz w:val="24"/>
              </w:rPr>
              <w:t>询价报价按照询价通知书要求进行报价，没有删除品种、缺项、漏项（数量不符合将被视为漏项）的；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color w:val="FF0000"/>
                <w:sz w:val="24"/>
              </w:rPr>
            </w:pPr>
            <w:r>
              <w:rPr>
                <w:rFonts w:hint="eastAsia" w:ascii="方正仿宋_GB18030" w:hAnsi="方正仿宋_GB18030" w:eastAsia="方正仿宋_GB18030" w:cs="方正仿宋_GB18030"/>
                <w:sz w:val="24"/>
              </w:rPr>
              <w:t>响应文件未出现选择性报价或有附加条件报价的情形；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响应文件没有询价通知书中规定的其它无效响应条款的；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响应文件没有出现有关法律、法规、规章规定属于无效响应的条款。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737" w:type="dxa"/>
            <w:tcBorders>
              <w:left w:val="single" w:color="auto" w:sz="12" w:space="0"/>
              <w:bottom w:val="single" w:color="auto" w:sz="12" w:space="0"/>
            </w:tcBorders>
            <w:vAlign w:val="center"/>
          </w:tcPr>
          <w:p>
            <w:pPr>
              <w:keepNext w:val="0"/>
              <w:keepLines w:val="0"/>
              <w:pageBreakBefore w:val="0"/>
              <w:widowControl w:val="0"/>
              <w:numPr>
                <w:ilvl w:val="0"/>
                <w:numId w:val="1"/>
              </w:numPr>
              <w:tabs>
                <w:tab w:val="left" w:pos="223"/>
              </w:tabs>
              <w:kinsoku/>
              <w:wordWrap/>
              <w:overflowPunct/>
              <w:topLinePunct w:val="0"/>
              <w:autoSpaceDE/>
              <w:autoSpaceDN/>
              <w:bidi w:val="0"/>
              <w:adjustRightInd/>
              <w:snapToGrid w:val="0"/>
              <w:spacing w:line="440" w:lineRule="exact"/>
              <w:jc w:val="center"/>
              <w:textAlignment w:val="auto"/>
              <w:rPr>
                <w:rFonts w:hint="eastAsia" w:ascii="方正仿宋_GB18030" w:hAnsi="方正仿宋_GB18030" w:eastAsia="方正仿宋_GB18030" w:cs="方正仿宋_GB18030"/>
                <w:b/>
                <w:sz w:val="24"/>
              </w:rPr>
            </w:pPr>
          </w:p>
        </w:tc>
        <w:tc>
          <w:tcPr>
            <w:tcW w:w="7422" w:type="dxa"/>
            <w:tcBorders>
              <w:bottom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确定评审定价办法。应以综合价值最高为导向制定评审定价办法，不唯最低价为定价结果</w:t>
            </w:r>
          </w:p>
        </w:tc>
      </w:tr>
    </w:tbl>
    <w:p>
      <w:pPr>
        <w:rPr>
          <w:rFonts w:hint="eastAsia" w:ascii="黑体" w:hAnsi="黑体" w:eastAsia="黑体" w:cs="黑体"/>
          <w:lang w:val="en-US" w:eastAsia="zh-CN"/>
        </w:rPr>
      </w:pPr>
      <w:r>
        <w:rPr>
          <w:rFonts w:hint="eastAsia" w:ascii="黑体" w:hAnsi="黑体" w:eastAsia="黑体" w:cs="黑体"/>
          <w:lang w:val="en-US" w:eastAsia="zh-CN"/>
        </w:rPr>
        <w:br w:type="page"/>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六、询价须知</w:t>
      </w:r>
    </w:p>
    <w:tbl>
      <w:tblPr>
        <w:tblStyle w:val="6"/>
        <w:tblW w:w="891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60"/>
        <w:gridCol w:w="623"/>
        <w:gridCol w:w="1386"/>
        <w:gridCol w:w="60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7" w:hRule="atLeast"/>
          <w:jc w:val="center"/>
        </w:trPr>
        <w:tc>
          <w:tcPr>
            <w:tcW w:w="1483"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条款项号</w:t>
            </w:r>
          </w:p>
        </w:tc>
        <w:tc>
          <w:tcPr>
            <w:tcW w:w="7436" w:type="dxa"/>
            <w:gridSpan w:val="2"/>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b/>
                <w:kern w:val="0"/>
                <w:szCs w:val="21"/>
              </w:rPr>
            </w:pPr>
            <w:r>
              <w:rPr>
                <w:rFonts w:hint="eastAsia" w:ascii="方正仿宋_GB18030" w:hAnsi="方正仿宋_GB18030" w:eastAsia="方正仿宋_GB18030" w:cs="方正仿宋_GB18030"/>
                <w:kern w:val="0"/>
                <w:sz w:val="24"/>
                <w:szCs w:val="21"/>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7" w:hRule="atLeast"/>
          <w:jc w:val="center"/>
        </w:trPr>
        <w:tc>
          <w:tcPr>
            <w:tcW w:w="8919" w:type="dxa"/>
            <w:gridSpan w:val="4"/>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Cs w:val="21"/>
              </w:rPr>
            </w:pPr>
            <w:r>
              <w:rPr>
                <w:rFonts w:hint="eastAsia" w:ascii="方正仿宋_GB18030" w:hAnsi="方正仿宋_GB18030" w:eastAsia="方正仿宋_GB18030" w:cs="方正仿宋_GB18030"/>
                <w:b/>
                <w:kern w:val="0"/>
                <w:sz w:val="24"/>
                <w:szCs w:val="21"/>
                <w:lang w:val="en-US" w:eastAsia="zh-CN"/>
              </w:rPr>
              <w:t>一</w:t>
            </w:r>
            <w:r>
              <w:rPr>
                <w:rFonts w:hint="eastAsia" w:ascii="方正仿宋_GB18030" w:hAnsi="方正仿宋_GB18030" w:eastAsia="方正仿宋_GB18030" w:cs="方正仿宋_GB18030"/>
                <w:b/>
                <w:kern w:val="0"/>
                <w:sz w:val="24"/>
                <w:szCs w:val="21"/>
              </w:rPr>
              <w:t>、询价通知书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2" w:hRule="atLeast"/>
          <w:jc w:val="center"/>
        </w:trPr>
        <w:tc>
          <w:tcPr>
            <w:tcW w:w="86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一</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现场考察或答疑会</w:t>
            </w:r>
          </w:p>
        </w:tc>
        <w:tc>
          <w:tcPr>
            <w:tcW w:w="6050" w:type="dxa"/>
            <w:vAlign w:val="center"/>
          </w:tcPr>
          <w:p>
            <w:pPr>
              <w:keepNext w:val="0"/>
              <w:keepLines w:val="0"/>
              <w:pageBreakBefore w:val="0"/>
              <w:widowControl w:val="0"/>
              <w:tabs>
                <w:tab w:val="left" w:pos="459"/>
                <w:tab w:val="left" w:pos="601"/>
              </w:tabs>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不举行；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7" w:hRule="atLeast"/>
          <w:jc w:val="center"/>
        </w:trPr>
        <w:tc>
          <w:tcPr>
            <w:tcW w:w="8919" w:type="dxa"/>
            <w:gridSpan w:val="4"/>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b/>
                <w:kern w:val="0"/>
                <w:szCs w:val="21"/>
              </w:rPr>
            </w:pPr>
            <w:r>
              <w:rPr>
                <w:rFonts w:hint="eastAsia" w:ascii="方正仿宋_GB18030" w:hAnsi="方正仿宋_GB18030" w:eastAsia="方正仿宋_GB18030" w:cs="方正仿宋_GB18030"/>
                <w:b/>
                <w:kern w:val="0"/>
                <w:sz w:val="24"/>
                <w:szCs w:val="21"/>
                <w:lang w:val="en-US" w:eastAsia="zh-CN"/>
              </w:rPr>
              <w:t>二</w:t>
            </w:r>
            <w:r>
              <w:rPr>
                <w:rFonts w:hint="eastAsia" w:ascii="方正仿宋_GB18030" w:hAnsi="方正仿宋_GB18030" w:eastAsia="方正仿宋_GB18030" w:cs="方正仿宋_GB18030"/>
                <w:b/>
                <w:kern w:val="0"/>
                <w:sz w:val="24"/>
                <w:szCs w:val="21"/>
              </w:rPr>
              <w:t>、响应文件的编制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561" w:hRule="atLeast"/>
          <w:jc w:val="center"/>
        </w:trPr>
        <w:tc>
          <w:tcPr>
            <w:tcW w:w="86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二</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响应文件式样与份数</w:t>
            </w:r>
          </w:p>
        </w:tc>
        <w:tc>
          <w:tcPr>
            <w:tcW w:w="6050" w:type="dxa"/>
            <w:vAlign w:val="center"/>
          </w:tcPr>
          <w:p>
            <w:pPr>
              <w:keepNext w:val="0"/>
              <w:keepLines w:val="0"/>
              <w:pageBreakBefore w:val="0"/>
              <w:widowControl w:val="0"/>
              <w:numPr>
                <w:ilvl w:val="0"/>
                <w:numId w:val="2"/>
              </w:numPr>
              <w:tabs>
                <w:tab w:val="left" w:pos="601"/>
              </w:tabs>
              <w:kinsoku/>
              <w:wordWrap/>
              <w:overflowPunct/>
              <w:topLinePunct w:val="0"/>
              <w:autoSpaceDE w:val="0"/>
              <w:autoSpaceDN w:val="0"/>
              <w:bidi w:val="0"/>
              <w:adjustRightInd w:val="0"/>
              <w:snapToGri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正本一份，副本</w:t>
            </w:r>
            <w:r>
              <w:rPr>
                <w:rFonts w:hint="eastAsia" w:ascii="方正仿宋_GB18030" w:hAnsi="方正仿宋_GB18030" w:eastAsia="方正仿宋_GB18030" w:cs="方正仿宋_GB18030"/>
                <w:kern w:val="0"/>
                <w:sz w:val="24"/>
                <w:szCs w:val="21"/>
                <w:u w:val="single"/>
                <w:lang w:val="en-US" w:eastAsia="zh-CN"/>
              </w:rPr>
              <w:t>6</w:t>
            </w:r>
            <w:r>
              <w:rPr>
                <w:rFonts w:hint="eastAsia" w:ascii="方正仿宋_GB18030" w:hAnsi="方正仿宋_GB18030" w:eastAsia="方正仿宋_GB18030" w:cs="方正仿宋_GB18030"/>
                <w:kern w:val="0"/>
                <w:sz w:val="24"/>
                <w:szCs w:val="21"/>
              </w:rPr>
              <w:t>份，电子介质一份。</w:t>
            </w:r>
          </w:p>
          <w:p>
            <w:pPr>
              <w:keepNext w:val="0"/>
              <w:keepLines w:val="0"/>
              <w:pageBreakBefore w:val="0"/>
              <w:widowControl w:val="0"/>
              <w:numPr>
                <w:ilvl w:val="0"/>
                <w:numId w:val="2"/>
              </w:numPr>
              <w:tabs>
                <w:tab w:val="left" w:pos="601"/>
              </w:tabs>
              <w:kinsoku/>
              <w:wordWrap/>
              <w:overflowPunct/>
              <w:topLinePunct w:val="0"/>
              <w:autoSpaceDE w:val="0"/>
              <w:autoSpaceDN w:val="0"/>
              <w:bidi w:val="0"/>
              <w:adjustRightInd w:val="0"/>
              <w:snapToGri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lang w:eastAsia="zh-TW"/>
              </w:rPr>
              <w:t>响应文件的副本可采用正本的复印件。每套响应文件须清楚地标明“正本”或</w:t>
            </w:r>
            <w:r>
              <w:rPr>
                <w:rFonts w:hint="eastAsia" w:ascii="方正仿宋_GB18030" w:hAnsi="方正仿宋_GB18030" w:eastAsia="方正仿宋_GB18030" w:cs="方正仿宋_GB18030"/>
                <w:kern w:val="0"/>
                <w:sz w:val="24"/>
                <w:szCs w:val="21"/>
              </w:rPr>
              <w:t>“副</w:t>
            </w:r>
            <w:r>
              <w:rPr>
                <w:rFonts w:hint="eastAsia" w:ascii="方正仿宋_GB18030" w:hAnsi="方正仿宋_GB18030" w:eastAsia="方正仿宋_GB18030" w:cs="方正仿宋_GB18030"/>
                <w:kern w:val="0"/>
                <w:sz w:val="24"/>
                <w:szCs w:val="21"/>
                <w:lang w:eastAsia="zh-TW"/>
              </w:rPr>
              <w:t>本</w:t>
            </w:r>
            <w:r>
              <w:rPr>
                <w:rFonts w:hint="eastAsia" w:ascii="方正仿宋_GB18030" w:hAnsi="方正仿宋_GB18030" w:eastAsia="方正仿宋_GB18030" w:cs="方正仿宋_GB18030"/>
                <w:kern w:val="0"/>
                <w:sz w:val="24"/>
                <w:szCs w:val="21"/>
              </w:rPr>
              <w:t>”。若副本与正本不符，以正本为准。</w:t>
            </w:r>
          </w:p>
          <w:p>
            <w:pPr>
              <w:keepNext w:val="0"/>
              <w:keepLines w:val="0"/>
              <w:pageBreakBefore w:val="0"/>
              <w:widowControl w:val="0"/>
              <w:numPr>
                <w:ilvl w:val="0"/>
                <w:numId w:val="2"/>
              </w:numPr>
              <w:tabs>
                <w:tab w:val="left" w:pos="601"/>
              </w:tabs>
              <w:kinsoku/>
              <w:wordWrap/>
              <w:overflowPunct/>
              <w:topLinePunct w:val="0"/>
              <w:autoSpaceDE w:val="0"/>
              <w:autoSpaceDN w:val="0"/>
              <w:bidi w:val="0"/>
              <w:adjustRightInd w:val="0"/>
              <w:snapToGrid w:val="0"/>
              <w:spacing w:line="400" w:lineRule="exact"/>
              <w:ind w:left="601" w:hanging="601"/>
              <w:jc w:val="left"/>
              <w:textAlignment w:val="auto"/>
              <w:rPr>
                <w:rFonts w:hint="eastAsia" w:ascii="方正仿宋_GB18030" w:hAnsi="方正仿宋_GB18030" w:eastAsia="方正仿宋_GB18030" w:cs="方正仿宋_GB18030"/>
                <w:kern w:val="0"/>
                <w:sz w:val="24"/>
                <w:szCs w:val="21"/>
                <w:lang w:eastAsia="zh-TW"/>
              </w:rPr>
            </w:pPr>
            <w:r>
              <w:rPr>
                <w:rFonts w:hint="eastAsia" w:ascii="方正仿宋_GB18030" w:hAnsi="方正仿宋_GB18030" w:eastAsia="方正仿宋_GB18030" w:cs="方正仿宋_GB18030"/>
                <w:kern w:val="0"/>
                <w:sz w:val="24"/>
                <w:szCs w:val="21"/>
                <w:lang w:eastAsia="zh-TW"/>
              </w:rPr>
              <w:t>电子介质是指将按照询价通知书要求签署、盖章后的正本响应文件扫描成PDF格式后拷贝至无病毒无密码的U盘或光盘。</w:t>
            </w:r>
          </w:p>
          <w:p>
            <w:pPr>
              <w:keepNext w:val="0"/>
              <w:keepLines w:val="0"/>
              <w:pageBreakBefore w:val="0"/>
              <w:widowControl w:val="0"/>
              <w:numPr>
                <w:ilvl w:val="0"/>
                <w:numId w:val="2"/>
              </w:numPr>
              <w:tabs>
                <w:tab w:val="left" w:pos="601"/>
              </w:tabs>
              <w:kinsoku/>
              <w:wordWrap/>
              <w:overflowPunct/>
              <w:topLinePunct w:val="0"/>
              <w:autoSpaceDE w:val="0"/>
              <w:autoSpaceDN w:val="0"/>
              <w:bidi w:val="0"/>
              <w:adjustRightInd w:val="0"/>
              <w:snapToGrid w:val="0"/>
              <w:spacing w:line="400" w:lineRule="exact"/>
              <w:ind w:left="601" w:hanging="601"/>
              <w:jc w:val="left"/>
              <w:textAlignment w:val="auto"/>
              <w:rPr>
                <w:rFonts w:hint="eastAsia" w:ascii="方正仿宋_GB18030" w:hAnsi="方正仿宋_GB18030" w:eastAsia="方正仿宋_GB18030" w:cs="方正仿宋_GB18030"/>
                <w:kern w:val="0"/>
                <w:szCs w:val="21"/>
              </w:rPr>
            </w:pPr>
            <w:r>
              <w:rPr>
                <w:rFonts w:hint="eastAsia" w:ascii="方正仿宋_GB18030" w:hAnsi="方正仿宋_GB18030" w:eastAsia="方正仿宋_GB18030" w:cs="方正仿宋_GB18030"/>
                <w:kern w:val="0"/>
                <w:sz w:val="24"/>
                <w:szCs w:val="21"/>
                <w:lang w:eastAsia="zh-TW"/>
              </w:rPr>
              <w:t>若</w:t>
            </w:r>
            <w:r>
              <w:rPr>
                <w:rFonts w:hint="eastAsia" w:ascii="方正仿宋_GB18030" w:hAnsi="方正仿宋_GB18030" w:eastAsia="方正仿宋_GB18030" w:cs="方正仿宋_GB18030"/>
                <w:kern w:val="0"/>
                <w:sz w:val="24"/>
                <w:szCs w:val="21"/>
              </w:rPr>
              <w:t>电子介质的响应文件</w:t>
            </w:r>
            <w:r>
              <w:rPr>
                <w:rFonts w:hint="eastAsia" w:ascii="方正仿宋_GB18030" w:hAnsi="方正仿宋_GB18030" w:eastAsia="方正仿宋_GB18030" w:cs="方正仿宋_GB18030"/>
                <w:kern w:val="0"/>
                <w:sz w:val="24"/>
                <w:szCs w:val="21"/>
                <w:lang w:eastAsia="zh-TW"/>
              </w:rPr>
              <w:t>与</w:t>
            </w:r>
            <w:r>
              <w:rPr>
                <w:rFonts w:hint="eastAsia" w:ascii="方正仿宋_GB18030" w:hAnsi="方正仿宋_GB18030" w:eastAsia="方正仿宋_GB18030" w:cs="方正仿宋_GB18030"/>
                <w:kern w:val="0"/>
                <w:sz w:val="24"/>
                <w:szCs w:val="21"/>
              </w:rPr>
              <w:t>纸质响应文件</w:t>
            </w:r>
            <w:r>
              <w:rPr>
                <w:rFonts w:hint="eastAsia" w:ascii="方正仿宋_GB18030" w:hAnsi="方正仿宋_GB18030" w:eastAsia="方正仿宋_GB18030" w:cs="方正仿宋_GB18030"/>
                <w:kern w:val="0"/>
                <w:sz w:val="24"/>
                <w:szCs w:val="21"/>
                <w:lang w:eastAsia="zh-TW"/>
              </w:rPr>
              <w:t>不符</w:t>
            </w: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eastAsia="zh-TW"/>
              </w:rPr>
              <w:t>以</w:t>
            </w:r>
            <w:r>
              <w:rPr>
                <w:rFonts w:hint="eastAsia" w:ascii="方正仿宋_GB18030" w:hAnsi="方正仿宋_GB18030" w:eastAsia="方正仿宋_GB18030" w:cs="方正仿宋_GB18030"/>
                <w:kern w:val="0"/>
                <w:sz w:val="24"/>
                <w:szCs w:val="21"/>
              </w:rPr>
              <w:t>纸质响应文件</w:t>
            </w:r>
            <w:r>
              <w:rPr>
                <w:rFonts w:hint="eastAsia" w:ascii="方正仿宋_GB18030" w:hAnsi="方正仿宋_GB18030" w:eastAsia="方正仿宋_GB18030" w:cs="方正仿宋_GB18030"/>
                <w:kern w:val="0"/>
                <w:sz w:val="24"/>
                <w:szCs w:val="21"/>
                <w:lang w:eastAsia="zh-TW"/>
              </w:rPr>
              <w:t>为准。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4" w:hRule="atLeast"/>
          <w:jc w:val="center"/>
        </w:trPr>
        <w:tc>
          <w:tcPr>
            <w:tcW w:w="8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p>
        </w:tc>
        <w:tc>
          <w:tcPr>
            <w:tcW w:w="623"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2.</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单独密封资料</w:t>
            </w:r>
          </w:p>
        </w:tc>
        <w:tc>
          <w:tcPr>
            <w:tcW w:w="6050" w:type="dxa"/>
            <w:vAlign w:val="center"/>
          </w:tcPr>
          <w:p>
            <w:pPr>
              <w:keepNext w:val="0"/>
              <w:keepLines w:val="0"/>
              <w:pageBreakBefore w:val="0"/>
              <w:widowControl w:val="0"/>
              <w:tabs>
                <w:tab w:val="left" w:pos="601"/>
              </w:tabs>
              <w:kinsoku/>
              <w:wordWrap/>
              <w:overflowPunct/>
              <w:topLinePunct w:val="0"/>
              <w:bidi w:val="0"/>
              <w:adjustRightInd w:val="0"/>
              <w:snapToGrid w:val="0"/>
              <w:spacing w:line="400" w:lineRule="exact"/>
              <w:jc w:val="lef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bCs/>
                <w:sz w:val="24"/>
                <w:szCs w:val="21"/>
              </w:rPr>
              <w:t>响应供应商还应将下述资料一并单独密封提交，并在信封上标明“单独密封资料”字样，为了方便后续相关事宜的办理。</w:t>
            </w:r>
          </w:p>
          <w:p>
            <w:pPr>
              <w:keepNext w:val="0"/>
              <w:keepLines w:val="0"/>
              <w:pageBreakBefore w:val="0"/>
              <w:widowControl w:val="0"/>
              <w:numPr>
                <w:ilvl w:val="0"/>
                <w:numId w:val="3"/>
              </w:numPr>
              <w:tabs>
                <w:tab w:val="left" w:pos="676"/>
              </w:tabs>
              <w:kinsoku/>
              <w:wordWrap/>
              <w:overflowPunct/>
              <w:topLinePunct w:val="0"/>
              <w:bidi w:val="0"/>
              <w:adjustRightInd w:val="0"/>
              <w:snapToGrid w:val="0"/>
              <w:spacing w:line="400" w:lineRule="exact"/>
              <w:ind w:left="676" w:hanging="676"/>
              <w:jc w:val="left"/>
              <w:textAlignment w:val="auto"/>
              <w:rPr>
                <w:rFonts w:hint="eastAsia" w:ascii="方正仿宋_GB18030" w:hAnsi="方正仿宋_GB18030" w:eastAsia="方正仿宋_GB18030" w:cs="方正仿宋_GB18030"/>
                <w:sz w:val="24"/>
              </w:rPr>
            </w:pPr>
            <w:r>
              <w:rPr>
                <w:rFonts w:hint="eastAsia" w:ascii="方正仿宋_GB18030" w:hAnsi="方正仿宋_GB18030" w:eastAsia="方正仿宋_GB18030" w:cs="方正仿宋_GB18030"/>
                <w:sz w:val="24"/>
              </w:rPr>
              <w:t>电子介质；</w:t>
            </w:r>
          </w:p>
          <w:p>
            <w:pPr>
              <w:keepNext w:val="0"/>
              <w:keepLines w:val="0"/>
              <w:pageBreakBefore w:val="0"/>
              <w:widowControl w:val="0"/>
              <w:numPr>
                <w:ilvl w:val="0"/>
                <w:numId w:val="3"/>
              </w:numPr>
              <w:tabs>
                <w:tab w:val="left" w:pos="676"/>
              </w:tabs>
              <w:kinsoku/>
              <w:wordWrap/>
              <w:overflowPunct/>
              <w:topLinePunct w:val="0"/>
              <w:bidi w:val="0"/>
              <w:adjustRightInd w:val="0"/>
              <w:snapToGrid w:val="0"/>
              <w:spacing w:line="400" w:lineRule="exact"/>
              <w:ind w:left="676" w:hanging="676"/>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bCs/>
                <w:sz w:val="24"/>
              </w:rPr>
              <w:t>营业执照（或事业单位法人证书或社会团体法人登记证书）。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0" w:hRule="atLeast"/>
          <w:jc w:val="center"/>
        </w:trPr>
        <w:tc>
          <w:tcPr>
            <w:tcW w:w="860" w:type="dxa"/>
            <w:vMerge w:val="restart"/>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三</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询价报价</w:t>
            </w:r>
          </w:p>
        </w:tc>
        <w:tc>
          <w:tcPr>
            <w:tcW w:w="6050" w:type="dxa"/>
            <w:vAlign w:val="center"/>
          </w:tcPr>
          <w:p>
            <w:pPr>
              <w:keepNext w:val="0"/>
              <w:keepLines w:val="0"/>
              <w:pageBreakBefore w:val="0"/>
              <w:widowControl w:val="0"/>
              <w:tabs>
                <w:tab w:val="left" w:pos="459"/>
                <w:tab w:val="left" w:pos="601"/>
              </w:tabs>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询价报价必须按照询价通知书要求进行报价，如有删除品种、缺项、漏项（数量不符合将被视为漏项）的，视为</w:t>
            </w:r>
            <w:r>
              <w:rPr>
                <w:rFonts w:hint="eastAsia" w:ascii="方正仿宋_GB18030" w:hAnsi="方正仿宋_GB18030" w:eastAsia="方正仿宋_GB18030" w:cs="方正仿宋_GB18030"/>
                <w:b/>
                <w:kern w:val="0"/>
                <w:sz w:val="24"/>
                <w:szCs w:val="21"/>
              </w:rPr>
              <w:t>无效响应</w:t>
            </w:r>
            <w:r>
              <w:rPr>
                <w:rFonts w:hint="eastAsia" w:ascii="方正仿宋_GB18030" w:hAnsi="方正仿宋_GB18030" w:eastAsia="方正仿宋_GB18030" w:cs="方正仿宋_GB18030"/>
                <w:kern w:val="0"/>
                <w:sz w:val="24"/>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05" w:hRule="atLeast"/>
          <w:jc w:val="center"/>
        </w:trPr>
        <w:tc>
          <w:tcPr>
            <w:tcW w:w="8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2</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询价报价</w:t>
            </w:r>
          </w:p>
        </w:tc>
        <w:tc>
          <w:tcPr>
            <w:tcW w:w="6050" w:type="dxa"/>
            <w:vAlign w:val="center"/>
          </w:tcPr>
          <w:p>
            <w:pPr>
              <w:keepNext w:val="0"/>
              <w:keepLines w:val="0"/>
              <w:pageBreakBefore w:val="0"/>
              <w:widowControl w:val="0"/>
              <w:tabs>
                <w:tab w:val="left" w:pos="459"/>
                <w:tab w:val="left" w:pos="601"/>
              </w:tabs>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包含但不限于：</w:t>
            </w:r>
          </w:p>
          <w:p>
            <w:pPr>
              <w:keepNext w:val="0"/>
              <w:keepLines w:val="0"/>
              <w:pageBreakBefore w:val="0"/>
              <w:widowControl w:val="0"/>
              <w:tabs>
                <w:tab w:val="left" w:pos="601"/>
              </w:tabs>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 w:val="24"/>
                <w:szCs w:val="21"/>
                <w:lang w:val="zh-CN"/>
              </w:rPr>
            </w:pPr>
            <w:r>
              <w:rPr>
                <w:rFonts w:hint="eastAsia" w:ascii="方正仿宋_GB18030" w:hAnsi="方正仿宋_GB18030" w:eastAsia="方正仿宋_GB18030" w:cs="方正仿宋_GB18030"/>
                <w:kern w:val="0"/>
                <w:sz w:val="24"/>
                <w:szCs w:val="21"/>
                <w:lang w:val="zh-CN"/>
              </w:rPr>
              <w:t>①全部产品价格、服务价格、应向中华人民共和国政府缴纳的增值税和其它税等全部税费、运输、保险、安装、伴随服务、标准附件价、备品备件及专用工具价(如有)、以及履行合同所需的费用、所有风险、责任等其他一切隐含及不可预见的费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86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strike/>
                <w:color w:val="00B0F0"/>
                <w:kern w:val="0"/>
                <w:sz w:val="24"/>
                <w:szCs w:val="21"/>
              </w:rPr>
            </w:pP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strike/>
                <w:kern w:val="0"/>
                <w:sz w:val="24"/>
                <w:szCs w:val="21"/>
              </w:rPr>
            </w:pPr>
            <w:r>
              <w:rPr>
                <w:rFonts w:hint="eastAsia" w:ascii="方正仿宋_GB18030" w:hAnsi="方正仿宋_GB18030" w:eastAsia="方正仿宋_GB18030" w:cs="方正仿宋_GB18030"/>
                <w:strike/>
                <w:kern w:val="0"/>
                <w:sz w:val="24"/>
                <w:szCs w:val="21"/>
              </w:rPr>
              <w:t>4</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备选方案</w:t>
            </w:r>
          </w:p>
        </w:tc>
        <w:tc>
          <w:tcPr>
            <w:tcW w:w="6050" w:type="dxa"/>
            <w:vAlign w:val="center"/>
          </w:tcPr>
          <w:p>
            <w:pPr>
              <w:keepNext w:val="0"/>
              <w:keepLines w:val="0"/>
              <w:pageBreakBefore w:val="0"/>
              <w:widowControl w:val="0"/>
              <w:kinsoku/>
              <w:wordWrap/>
              <w:overflowPunct/>
              <w:topLinePunct w:val="0"/>
              <w:bidi w:val="0"/>
              <w:adjustRightInd w:val="0"/>
              <w:snapToGrid w:val="0"/>
              <w:spacing w:line="400" w:lineRule="exact"/>
              <w:textAlignment w:val="auto"/>
              <w:rPr>
                <w:rFonts w:hint="eastAsia" w:ascii="方正仿宋_GB18030" w:hAnsi="方正仿宋_GB18030" w:eastAsia="方正仿宋_GB18030" w:cs="方正仿宋_GB18030"/>
                <w:strike/>
                <w:kern w:val="0"/>
                <w:sz w:val="24"/>
                <w:szCs w:val="21"/>
              </w:rPr>
            </w:pPr>
            <w:r>
              <w:rPr>
                <w:rFonts w:hint="eastAsia" w:ascii="方正仿宋_GB18030" w:hAnsi="方正仿宋_GB18030" w:eastAsia="方正仿宋_GB18030" w:cs="方正仿宋_GB18030"/>
                <w:kern w:val="0"/>
                <w:sz w:val="24"/>
                <w:szCs w:val="21"/>
                <w:lang w:val="zh-CN"/>
              </w:rPr>
              <w:t>不允许,每项报价或每种规格货物或每项服务只允许有一个报价，否则将被视为</w:t>
            </w:r>
            <w:r>
              <w:rPr>
                <w:rFonts w:hint="eastAsia" w:ascii="方正仿宋_GB18030" w:hAnsi="方正仿宋_GB18030" w:eastAsia="方正仿宋_GB18030" w:cs="方正仿宋_GB18030"/>
                <w:b/>
                <w:kern w:val="0"/>
                <w:sz w:val="24"/>
                <w:szCs w:val="21"/>
                <w:lang w:val="zh-CN"/>
              </w:rPr>
              <w:t>无效响应</w:t>
            </w:r>
            <w:r>
              <w:rPr>
                <w:rFonts w:hint="eastAsia" w:ascii="方正仿宋_GB18030" w:hAnsi="方正仿宋_GB18030" w:eastAsia="方正仿宋_GB18030" w:cs="方正仿宋_GB18030"/>
                <w:kern w:val="0"/>
                <w:sz w:val="24"/>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jc w:val="center"/>
        </w:trPr>
        <w:tc>
          <w:tcPr>
            <w:tcW w:w="86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四</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询价有效期</w:t>
            </w:r>
          </w:p>
        </w:tc>
        <w:tc>
          <w:tcPr>
            <w:tcW w:w="6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kern w:val="0"/>
                <w:szCs w:val="21"/>
              </w:rPr>
            </w:pPr>
            <w:r>
              <w:rPr>
                <w:rFonts w:hint="eastAsia" w:ascii="方正仿宋_GB18030" w:hAnsi="方正仿宋_GB18030" w:eastAsia="方正仿宋_GB18030" w:cs="方正仿宋_GB18030"/>
                <w:color w:val="FF0000"/>
                <w:kern w:val="0"/>
                <w:sz w:val="24"/>
                <w:szCs w:val="21"/>
                <w:u w:val="single"/>
              </w:rPr>
              <w:t>90</w:t>
            </w:r>
            <w:r>
              <w:rPr>
                <w:rFonts w:hint="eastAsia" w:ascii="方正仿宋_GB18030" w:hAnsi="方正仿宋_GB18030" w:eastAsia="方正仿宋_GB18030" w:cs="方正仿宋_GB18030"/>
                <w:kern w:val="0"/>
                <w:sz w:val="24"/>
                <w:szCs w:val="21"/>
              </w:rPr>
              <w:t>日历日。询价有效期不足的响应，将被视为</w:t>
            </w:r>
            <w:r>
              <w:rPr>
                <w:rFonts w:hint="eastAsia" w:ascii="方正仿宋_GB18030" w:hAnsi="方正仿宋_GB18030" w:eastAsia="方正仿宋_GB18030" w:cs="方正仿宋_GB18030"/>
                <w:b/>
                <w:kern w:val="0"/>
                <w:sz w:val="24"/>
                <w:szCs w:val="21"/>
              </w:rPr>
              <w:t>无效响应</w:t>
            </w:r>
            <w:r>
              <w:rPr>
                <w:rFonts w:hint="eastAsia" w:ascii="方正仿宋_GB18030" w:hAnsi="方正仿宋_GB18030" w:eastAsia="方正仿宋_GB18030" w:cs="方正仿宋_GB18030"/>
                <w:kern w:val="0"/>
                <w:sz w:val="24"/>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jc w:val="center"/>
        </w:trPr>
        <w:tc>
          <w:tcPr>
            <w:tcW w:w="8919" w:type="dxa"/>
            <w:gridSpan w:val="4"/>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Cs w:val="21"/>
              </w:rPr>
            </w:pPr>
            <w:r>
              <w:rPr>
                <w:rFonts w:hint="eastAsia" w:ascii="方正仿宋_GB18030" w:hAnsi="方正仿宋_GB18030" w:eastAsia="方正仿宋_GB18030" w:cs="方正仿宋_GB18030"/>
                <w:b/>
                <w:kern w:val="0"/>
                <w:sz w:val="24"/>
                <w:szCs w:val="21"/>
                <w:lang w:val="en-US" w:eastAsia="zh-CN"/>
              </w:rPr>
              <w:t>三</w:t>
            </w:r>
            <w:r>
              <w:rPr>
                <w:rFonts w:hint="eastAsia" w:ascii="方正仿宋_GB18030" w:hAnsi="方正仿宋_GB18030" w:eastAsia="方正仿宋_GB18030" w:cs="方正仿宋_GB18030"/>
                <w:b/>
                <w:kern w:val="0"/>
                <w:sz w:val="24"/>
                <w:szCs w:val="21"/>
              </w:rPr>
              <w:t>、询价流程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3" w:hRule="atLeast"/>
          <w:jc w:val="center"/>
        </w:trPr>
        <w:tc>
          <w:tcPr>
            <w:tcW w:w="86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一</w:t>
            </w: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bCs/>
                <w:kern w:val="0"/>
                <w:sz w:val="24"/>
                <w:szCs w:val="21"/>
              </w:rPr>
              <w:t>询价小组人数</w:t>
            </w:r>
          </w:p>
        </w:tc>
        <w:tc>
          <w:tcPr>
            <w:tcW w:w="6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方正仿宋_GB18030" w:hAnsi="方正仿宋_GB18030" w:eastAsia="方正仿宋_GB18030" w:cs="方正仿宋_GB18030"/>
                <w:color w:val="FF0000"/>
                <w:kern w:val="0"/>
                <w:szCs w:val="21"/>
              </w:rPr>
            </w:pPr>
            <w:r>
              <w:rPr>
                <w:rFonts w:hint="eastAsia" w:ascii="方正仿宋_GB18030" w:hAnsi="方正仿宋_GB18030" w:eastAsia="方正仿宋_GB18030" w:cs="方正仿宋_GB18030"/>
                <w:kern w:val="0"/>
                <w:sz w:val="24"/>
                <w:szCs w:val="21"/>
                <w:lang w:eastAsia="zh-CN"/>
              </w:rPr>
              <w:t>☑</w:t>
            </w:r>
            <w:r>
              <w:rPr>
                <w:rFonts w:hint="eastAsia" w:ascii="方正仿宋_GB18030" w:hAnsi="方正仿宋_GB18030" w:eastAsia="方正仿宋_GB18030" w:cs="方正仿宋_GB18030"/>
                <w:kern w:val="0"/>
                <w:sz w:val="24"/>
                <w:szCs w:val="21"/>
                <w:lang w:val="en-US" w:eastAsia="zh-CN"/>
              </w:rPr>
              <w:t>7</w:t>
            </w:r>
            <w:r>
              <w:rPr>
                <w:rFonts w:hint="eastAsia" w:ascii="方正仿宋_GB18030" w:hAnsi="方正仿宋_GB18030" w:eastAsia="方正仿宋_GB18030" w:cs="方正仿宋_GB18030"/>
                <w:kern w:val="0"/>
                <w:sz w:val="24"/>
                <w:szCs w:val="21"/>
                <w:lang w:val="zh-CN"/>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1" w:hRule="atLeast"/>
          <w:jc w:val="center"/>
        </w:trPr>
        <w:tc>
          <w:tcPr>
            <w:tcW w:w="860"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r>
              <w:rPr>
                <w:rFonts w:hint="eastAsia" w:ascii="方正仿宋_GB18030" w:hAnsi="方正仿宋_GB18030" w:eastAsia="方正仿宋_GB18030" w:cs="方正仿宋_GB18030"/>
                <w:kern w:val="0"/>
                <w:sz w:val="24"/>
                <w:szCs w:val="21"/>
                <w:lang w:val="en-US" w:eastAsia="zh-CN"/>
              </w:rPr>
              <w:t>二</w:t>
            </w:r>
            <w:r>
              <w:rPr>
                <w:rFonts w:hint="eastAsia" w:ascii="方正仿宋_GB18030" w:hAnsi="方正仿宋_GB18030" w:eastAsia="方正仿宋_GB18030" w:cs="方正仿宋_GB18030"/>
                <w:kern w:val="0"/>
                <w:sz w:val="24"/>
                <w:szCs w:val="21"/>
              </w:rPr>
              <w:t>）</w:t>
            </w:r>
          </w:p>
        </w:tc>
        <w:tc>
          <w:tcPr>
            <w:tcW w:w="623"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1</w:t>
            </w:r>
          </w:p>
        </w:tc>
        <w:tc>
          <w:tcPr>
            <w:tcW w:w="1386" w:type="dxa"/>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推荐</w:t>
            </w:r>
            <w:r>
              <w:rPr>
                <w:rFonts w:hint="eastAsia" w:ascii="方正仿宋_GB18030" w:hAnsi="方正仿宋_GB18030" w:eastAsia="方正仿宋_GB18030" w:cs="方正仿宋_GB18030"/>
                <w:kern w:val="0"/>
                <w:sz w:val="24"/>
                <w:szCs w:val="21"/>
                <w:lang w:val="en-US" w:eastAsia="zh-CN"/>
              </w:rPr>
              <w:t>询价候选</w:t>
            </w:r>
            <w:r>
              <w:rPr>
                <w:rFonts w:hint="eastAsia" w:ascii="方正仿宋_GB18030" w:hAnsi="方正仿宋_GB18030" w:eastAsia="方正仿宋_GB18030" w:cs="方正仿宋_GB18030"/>
                <w:kern w:val="0"/>
                <w:sz w:val="24"/>
                <w:szCs w:val="21"/>
              </w:rPr>
              <w:t>供应商</w:t>
            </w:r>
          </w:p>
        </w:tc>
        <w:tc>
          <w:tcPr>
            <w:tcW w:w="6050" w:type="dxa"/>
            <w:vAlign w:val="center"/>
          </w:tcPr>
          <w:p>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eastAsia="方正仿宋_GB18030"/>
                <w:lang w:eastAsia="zh-CN"/>
              </w:rPr>
            </w:pPr>
            <w:r>
              <w:rPr>
                <w:rFonts w:hint="eastAsia" w:ascii="方正仿宋_GB18030" w:hAnsi="方正仿宋_GB18030" w:eastAsia="方正仿宋_GB18030" w:cs="方正仿宋_GB18030"/>
                <w:bCs/>
                <w:sz w:val="24"/>
                <w:szCs w:val="21"/>
              </w:rPr>
              <w:t>根据询价报价（指因算术修正和落实政府采购政策需进行的价格扣除后的报价，即评审价）</w:t>
            </w:r>
            <w:r>
              <w:rPr>
                <w:rFonts w:hint="eastAsia" w:ascii="方正仿宋_GB18030" w:hAnsi="方正仿宋_GB18030" w:eastAsia="方正仿宋_GB18030" w:cs="方正仿宋_GB18030"/>
                <w:bCs/>
                <w:sz w:val="24"/>
                <w:szCs w:val="21"/>
                <w:highlight w:val="none"/>
              </w:rPr>
              <w:t>以综合价值最高由低到高的顺序推荐</w:t>
            </w:r>
            <w:r>
              <w:rPr>
                <w:rFonts w:hint="eastAsia" w:ascii="方正仿宋_GB18030" w:hAnsi="方正仿宋_GB18030" w:eastAsia="方正仿宋_GB18030" w:cs="方正仿宋_GB18030"/>
                <w:bCs/>
                <w:sz w:val="24"/>
                <w:szCs w:val="21"/>
                <w:highlight w:val="none"/>
                <w:lang w:val="en-US" w:eastAsia="zh-CN"/>
              </w:rPr>
              <w:t>询价</w:t>
            </w:r>
            <w:r>
              <w:rPr>
                <w:rFonts w:hint="eastAsia" w:ascii="方正仿宋_GB18030" w:hAnsi="方正仿宋_GB18030" w:eastAsia="方正仿宋_GB18030" w:cs="方正仿宋_GB18030"/>
                <w:bCs/>
                <w:sz w:val="24"/>
                <w:szCs w:val="21"/>
                <w:highlight w:val="none"/>
              </w:rPr>
              <w:t>候选供应商</w:t>
            </w:r>
            <w:r>
              <w:rPr>
                <w:rFonts w:hint="eastAsia" w:ascii="方正仿宋_GB18030" w:hAnsi="方正仿宋_GB18030" w:eastAsia="方正仿宋_GB18030" w:cs="方正仿宋_GB18030"/>
                <w:bCs/>
                <w:sz w:val="24"/>
                <w:szCs w:val="21"/>
                <w:highlight w:val="none"/>
                <w:u w:val="single"/>
              </w:rPr>
              <w:t xml:space="preserve"> </w:t>
            </w:r>
            <w:r>
              <w:rPr>
                <w:rFonts w:hint="eastAsia" w:ascii="方正仿宋_GB18030" w:hAnsi="方正仿宋_GB18030" w:eastAsia="方正仿宋_GB18030" w:cs="方正仿宋_GB18030"/>
                <w:bCs/>
                <w:color w:val="auto"/>
                <w:sz w:val="24"/>
                <w:szCs w:val="21"/>
                <w:highlight w:val="none"/>
                <w:u w:val="single"/>
              </w:rPr>
              <w:t xml:space="preserve"> 3  </w:t>
            </w:r>
            <w:r>
              <w:rPr>
                <w:rFonts w:hint="eastAsia" w:ascii="方正仿宋_GB18030" w:hAnsi="方正仿宋_GB18030" w:eastAsia="方正仿宋_GB18030" w:cs="方正仿宋_GB18030"/>
                <w:bCs/>
                <w:sz w:val="24"/>
                <w:szCs w:val="21"/>
              </w:rPr>
              <w:t>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jc w:val="center"/>
        </w:trPr>
        <w:tc>
          <w:tcPr>
            <w:tcW w:w="8919" w:type="dxa"/>
            <w:gridSpan w:val="4"/>
            <w:vAlign w:val="center"/>
          </w:tcPr>
          <w:p>
            <w:pPr>
              <w:keepNext w:val="0"/>
              <w:keepLines w:val="0"/>
              <w:pageBreakBefore w:val="0"/>
              <w:widowControl w:val="0"/>
              <w:kinsoku/>
              <w:wordWrap/>
              <w:overflowPunct/>
              <w:topLinePunct w:val="0"/>
              <w:bidi w:val="0"/>
              <w:adjustRightInd w:val="0"/>
              <w:snapToGrid w:val="0"/>
              <w:spacing w:line="400" w:lineRule="exact"/>
              <w:ind w:left="420"/>
              <w:jc w:val="center"/>
              <w:textAlignment w:val="auto"/>
              <w:rPr>
                <w:rFonts w:hint="eastAsia" w:ascii="方正仿宋_GB18030" w:hAnsi="方正仿宋_GB18030" w:eastAsia="方正仿宋_GB18030" w:cs="方正仿宋_GB18030"/>
                <w:color w:val="FF0000"/>
                <w:kern w:val="0"/>
                <w:szCs w:val="21"/>
              </w:rPr>
            </w:pPr>
            <w:r>
              <w:rPr>
                <w:rFonts w:hint="eastAsia" w:ascii="方正仿宋_GB18030" w:hAnsi="方正仿宋_GB18030" w:eastAsia="方正仿宋_GB18030" w:cs="方正仿宋_GB18030"/>
                <w:b/>
                <w:kern w:val="0"/>
                <w:sz w:val="24"/>
                <w:szCs w:val="21"/>
              </w:rPr>
              <w:t>其他说明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8" w:hRule="atLeast"/>
          <w:jc w:val="center"/>
        </w:trPr>
        <w:tc>
          <w:tcPr>
            <w:tcW w:w="860"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p>
        </w:tc>
        <w:tc>
          <w:tcPr>
            <w:tcW w:w="623"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w:t>
            </w:r>
          </w:p>
        </w:tc>
        <w:tc>
          <w:tcPr>
            <w:tcW w:w="1386"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center"/>
              <w:textAlignment w:val="auto"/>
              <w:rPr>
                <w:rFonts w:hint="eastAsia" w:ascii="方正仿宋_GB18030" w:hAnsi="方正仿宋_GB18030" w:eastAsia="方正仿宋_GB18030" w:cs="方正仿宋_GB18030"/>
                <w:color w:val="00B0F0"/>
                <w:kern w:val="0"/>
                <w:sz w:val="24"/>
                <w:szCs w:val="21"/>
              </w:rPr>
            </w:pPr>
            <w:r>
              <w:rPr>
                <w:rFonts w:hint="eastAsia" w:ascii="方正仿宋_GB18030" w:hAnsi="方正仿宋_GB18030" w:eastAsia="方正仿宋_GB18030" w:cs="方正仿宋_GB18030"/>
                <w:kern w:val="0"/>
                <w:sz w:val="24"/>
                <w:szCs w:val="21"/>
              </w:rPr>
              <w:t>分包</w:t>
            </w:r>
          </w:p>
        </w:tc>
        <w:tc>
          <w:tcPr>
            <w:tcW w:w="6050" w:type="dxa"/>
            <w:vAlign w:val="center"/>
          </w:tcPr>
          <w:p>
            <w:pPr>
              <w:keepNext w:val="0"/>
              <w:keepLines w:val="0"/>
              <w:pageBreakBefore w:val="0"/>
              <w:widowControl w:val="0"/>
              <w:kinsoku/>
              <w:wordWrap/>
              <w:overflowPunct/>
              <w:topLinePunct w:val="0"/>
              <w:autoSpaceDE w:val="0"/>
              <w:autoSpaceDN w:val="0"/>
              <w:bidi w:val="0"/>
              <w:adjustRightIn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方式一：</w:t>
            </w:r>
            <w:r>
              <w:rPr>
                <w:rFonts w:hint="eastAsia" w:ascii="方正仿宋_GB18030" w:hAnsi="方正仿宋_GB18030" w:eastAsia="方正仿宋_GB18030" w:cs="方正仿宋_GB18030"/>
                <w:kern w:val="0"/>
                <w:sz w:val="24"/>
                <w:szCs w:val="21"/>
                <w:lang w:eastAsia="zh-CN"/>
              </w:rPr>
              <w:t>☑</w:t>
            </w:r>
            <w:r>
              <w:rPr>
                <w:rFonts w:hint="eastAsia" w:ascii="方正仿宋_GB18030" w:hAnsi="方正仿宋_GB18030" w:eastAsia="方正仿宋_GB18030" w:cs="方正仿宋_GB18030"/>
                <w:kern w:val="0"/>
                <w:sz w:val="24"/>
                <w:szCs w:val="21"/>
              </w:rPr>
              <w:t>不允许；</w:t>
            </w:r>
          </w:p>
          <w:p>
            <w:pPr>
              <w:keepNext w:val="0"/>
              <w:keepLines w:val="0"/>
              <w:pageBreakBefore w:val="0"/>
              <w:widowControl w:val="0"/>
              <w:kinsoku/>
              <w:wordWrap/>
              <w:overflowPunct/>
              <w:topLinePunct w:val="0"/>
              <w:autoSpaceDE w:val="0"/>
              <w:autoSpaceDN w:val="0"/>
              <w:bidi w:val="0"/>
              <w:adjustRightInd w:val="0"/>
              <w:spacing w:line="400" w:lineRule="exact"/>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方式二：□允许：</w:t>
            </w:r>
          </w:p>
          <w:p>
            <w:pPr>
              <w:keepNext w:val="0"/>
              <w:keepLines w:val="0"/>
              <w:pageBreakBefore w:val="0"/>
              <w:widowControl w:val="0"/>
              <w:numPr>
                <w:ilvl w:val="0"/>
                <w:numId w:val="4"/>
              </w:numPr>
              <w:tabs>
                <w:tab w:val="left" w:pos="601"/>
              </w:tabs>
              <w:kinsoku/>
              <w:wordWrap/>
              <w:overflowPunct/>
              <w:topLinePunct w:val="0"/>
              <w:autoSpaceDE w:val="0"/>
              <w:autoSpaceDN w:val="0"/>
              <w:bidi w:val="0"/>
              <w:adjustRightIn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分包履行的具体内容：</w:t>
            </w:r>
            <w:r>
              <w:rPr>
                <w:rFonts w:hint="eastAsia" w:ascii="方正仿宋_GB18030" w:hAnsi="方正仿宋_GB18030" w:eastAsia="方正仿宋_GB18030" w:cs="方正仿宋_GB18030"/>
                <w:kern w:val="0"/>
                <w:sz w:val="24"/>
                <w:szCs w:val="21"/>
                <w:u w:val="single"/>
              </w:rPr>
              <w:t xml:space="preserve">          </w:t>
            </w:r>
          </w:p>
          <w:p>
            <w:pPr>
              <w:keepNext w:val="0"/>
              <w:keepLines w:val="0"/>
              <w:pageBreakBefore w:val="0"/>
              <w:widowControl w:val="0"/>
              <w:numPr>
                <w:ilvl w:val="0"/>
                <w:numId w:val="4"/>
              </w:numPr>
              <w:tabs>
                <w:tab w:val="left" w:pos="601"/>
              </w:tabs>
              <w:kinsoku/>
              <w:wordWrap/>
              <w:overflowPunct/>
              <w:topLinePunct w:val="0"/>
              <w:autoSpaceDE w:val="0"/>
              <w:autoSpaceDN w:val="0"/>
              <w:bidi w:val="0"/>
              <w:adjustRightIn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分包金额（比例）</w:t>
            </w:r>
            <w:r>
              <w:rPr>
                <w:rFonts w:hint="eastAsia" w:ascii="方正仿宋_GB18030" w:hAnsi="方正仿宋_GB18030" w:eastAsia="方正仿宋_GB18030" w:cs="方正仿宋_GB18030"/>
                <w:kern w:val="0"/>
                <w:sz w:val="24"/>
                <w:szCs w:val="21"/>
                <w:u w:val="single"/>
              </w:rPr>
              <w:t xml:space="preserve">      </w:t>
            </w:r>
            <w:r>
              <w:rPr>
                <w:rFonts w:hint="eastAsia" w:ascii="方正仿宋_GB18030" w:hAnsi="方正仿宋_GB18030" w:eastAsia="方正仿宋_GB18030" w:cs="方正仿宋_GB18030"/>
                <w:kern w:val="0"/>
                <w:sz w:val="24"/>
                <w:szCs w:val="21"/>
              </w:rPr>
              <w:t xml:space="preserve"> </w:t>
            </w:r>
          </w:p>
          <w:p>
            <w:pPr>
              <w:keepNext w:val="0"/>
              <w:keepLines w:val="0"/>
              <w:pageBreakBefore w:val="0"/>
              <w:widowControl w:val="0"/>
              <w:numPr>
                <w:ilvl w:val="0"/>
                <w:numId w:val="4"/>
              </w:numPr>
              <w:tabs>
                <w:tab w:val="left" w:pos="601"/>
              </w:tabs>
              <w:kinsoku/>
              <w:wordWrap/>
              <w:overflowPunct/>
              <w:topLinePunct w:val="0"/>
              <w:autoSpaceDE w:val="0"/>
              <w:autoSpaceDN w:val="0"/>
              <w:bidi w:val="0"/>
              <w:adjustRightInd w:val="0"/>
              <w:spacing w:line="400" w:lineRule="exact"/>
              <w:ind w:left="601" w:hanging="601"/>
              <w:jc w:val="left"/>
              <w:textAlignment w:val="auto"/>
              <w:rPr>
                <w:rFonts w:hint="eastAsia" w:ascii="方正仿宋_GB18030" w:hAnsi="方正仿宋_GB18030" w:eastAsia="方正仿宋_GB18030" w:cs="方正仿宋_GB18030"/>
                <w:kern w:val="0"/>
                <w:sz w:val="24"/>
                <w:szCs w:val="21"/>
              </w:rPr>
            </w:pPr>
            <w:r>
              <w:rPr>
                <w:rFonts w:hint="eastAsia" w:ascii="方正仿宋_GB18030" w:hAnsi="方正仿宋_GB18030" w:eastAsia="方正仿宋_GB18030" w:cs="方正仿宋_GB18030"/>
                <w:kern w:val="0"/>
                <w:sz w:val="24"/>
                <w:szCs w:val="21"/>
              </w:rPr>
              <w:t>对分包人的资质要求：</w:t>
            </w:r>
            <w:r>
              <w:rPr>
                <w:rFonts w:hint="eastAsia" w:ascii="方正仿宋_GB18030" w:hAnsi="方正仿宋_GB18030" w:eastAsia="方正仿宋_GB18030" w:cs="方正仿宋_GB18030"/>
                <w:kern w:val="0"/>
                <w:sz w:val="24"/>
                <w:szCs w:val="21"/>
                <w:u w:val="single"/>
              </w:rPr>
              <w:t xml:space="preserve">          </w:t>
            </w:r>
          </w:p>
          <w:p>
            <w:pPr>
              <w:keepNext w:val="0"/>
              <w:keepLines w:val="0"/>
              <w:pageBreakBefore w:val="0"/>
              <w:widowControl w:val="0"/>
              <w:numPr>
                <w:ilvl w:val="0"/>
                <w:numId w:val="4"/>
              </w:numPr>
              <w:tabs>
                <w:tab w:val="left" w:pos="601"/>
              </w:tabs>
              <w:kinsoku/>
              <w:wordWrap/>
              <w:overflowPunct/>
              <w:topLinePunct w:val="0"/>
              <w:autoSpaceDE w:val="0"/>
              <w:autoSpaceDN w:val="0"/>
              <w:bidi w:val="0"/>
              <w:adjustRightInd w:val="0"/>
              <w:spacing w:line="400" w:lineRule="exact"/>
              <w:ind w:left="601" w:hanging="601"/>
              <w:jc w:val="left"/>
              <w:textAlignment w:val="auto"/>
              <w:rPr>
                <w:rFonts w:hint="eastAsia" w:ascii="方正仿宋_GB18030" w:hAnsi="方正仿宋_GB18030" w:eastAsia="方正仿宋_GB18030" w:cs="方正仿宋_GB18030"/>
                <w:color w:val="00B0F0"/>
                <w:kern w:val="0"/>
                <w:sz w:val="24"/>
                <w:szCs w:val="21"/>
              </w:rPr>
            </w:pPr>
            <w:r>
              <w:rPr>
                <w:rFonts w:hint="eastAsia" w:ascii="方正仿宋_GB18030" w:hAnsi="方正仿宋_GB18030" w:eastAsia="方正仿宋_GB18030" w:cs="方正仿宋_GB18030"/>
                <w:kern w:val="0"/>
                <w:sz w:val="24"/>
                <w:szCs w:val="21"/>
              </w:rPr>
              <w:t>响应供应商应当在响应文件中载明拟在成交后将成交项目的非主体、非关键性工作分包的承担主体，分包承担主体应当具备相应资质条件且不得再次分包。</w:t>
            </w:r>
          </w:p>
        </w:tc>
      </w:tr>
    </w:tbl>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七、附件</w:t>
      </w:r>
    </w:p>
    <w:p>
      <w:pPr>
        <w:pStyle w:val="9"/>
        <w:numPr>
          <w:ilvl w:val="0"/>
          <w:numId w:val="5"/>
        </w:numPr>
        <w:rPr>
          <w:ins w:id="0" w:author="栾" w:date="2024-03-20T11:19:51Z"/>
          <w:rFonts w:hint="eastAsia"/>
          <w:lang w:val="en-US" w:eastAsia="zh-CN"/>
        </w:rPr>
      </w:pPr>
      <w:ins w:id="1" w:author="栾" w:date="2024-03-20T11:19:51Z">
        <w:r>
          <w:rPr>
            <w:rFonts w:hint="eastAsia"/>
            <w:lang w:val="en-US" w:eastAsia="zh-CN"/>
          </w:rPr>
          <w:t>报价清单</w:t>
        </w:r>
      </w:ins>
    </w:p>
    <w:p>
      <w:pPr>
        <w:pStyle w:val="9"/>
        <w:numPr>
          <w:ilvl w:val="0"/>
          <w:numId w:val="5"/>
        </w:numPr>
        <w:rPr>
          <w:ins w:id="2" w:author="栾" w:date="2024-03-20T11:19:51Z"/>
          <w:rFonts w:hint="default"/>
          <w:lang w:val="en-US" w:eastAsia="zh-CN"/>
        </w:rPr>
      </w:pPr>
      <w:ins w:id="3" w:author="栾" w:date="2024-03-20T11:19:51Z">
        <w:r>
          <w:rPr>
            <w:rFonts w:hint="eastAsia"/>
            <w:lang w:val="en-US" w:eastAsia="zh-CN"/>
          </w:rPr>
          <w:t>施工蓝图和设计相关文件</w:t>
        </w:r>
      </w:ins>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rPr>
      </w:pPr>
    </w:p>
    <w:p>
      <w:pPr>
        <w:rPr>
          <w:rFonts w:hint="eastAsia" w:ascii="仿宋_GB2312" w:hAnsi="仿宋_GB2312" w:eastAsia="仿宋_GB2312" w:cs="仿宋_GB2312"/>
        </w:rPr>
      </w:pPr>
      <w:r>
        <w:rPr>
          <w:rFonts w:hint="eastAsia" w:ascii="仿宋_GB2312" w:hAnsi="仿宋_GB2312" w:eastAsia="仿宋_GB2312" w:cs="仿宋_GB2312"/>
        </w:rPr>
        <w:br w:type="page"/>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outlineLvl w:val="0"/>
        <w:rPr>
          <w:rFonts w:hint="eastAsia" w:ascii="黑体" w:hAnsi="黑体" w:eastAsia="黑体" w:cs="黑体"/>
          <w:lang w:val="en-US" w:eastAsia="zh-CN"/>
        </w:rPr>
      </w:pPr>
      <w:bookmarkStart w:id="36" w:name="_Toc8208"/>
      <w:r>
        <w:rPr>
          <w:rFonts w:hint="eastAsia" w:ascii="黑体" w:hAnsi="黑体" w:eastAsia="黑体" w:cs="黑体"/>
          <w:lang w:val="en-US" w:eastAsia="zh-CN"/>
        </w:rPr>
        <w:t>八、报价文件格式及装订顺序</w:t>
      </w:r>
      <w:bookmarkEnd w:id="36"/>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报价</w:t>
      </w:r>
      <w:r>
        <w:rPr>
          <w:rFonts w:hint="eastAsia" w:ascii="仿宋_GB2312" w:hAnsi="仿宋_GB2312" w:cs="仿宋_GB2312"/>
          <w:lang w:eastAsia="zh-CN"/>
        </w:rPr>
        <w:t>文件按下面提供格式填报，按顺序装订。</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eastAsia="zh-CN"/>
        </w:rPr>
        <w:t xml:space="preserve">文件袋封面 </w:t>
      </w:r>
      <w:r>
        <w:rPr>
          <w:rFonts w:hint="eastAsia" w:ascii="仿宋_GB2312" w:hAnsi="仿宋_GB2312" w:cs="仿宋_GB2312"/>
          <w:lang w:val="en-US" w:eastAsia="zh-CN"/>
        </w:rPr>
        <w:t>茂名市中医院新院区</w:t>
      </w:r>
      <w:r>
        <w:rPr>
          <w:rFonts w:hint="eastAsia" w:ascii="仿宋_GB2312" w:hAnsi="仿宋_GB2312" w:cs="仿宋_GB2312"/>
          <w:lang w:eastAsia="zh-CN"/>
        </w:rPr>
        <w:t>项目</w:t>
      </w:r>
      <w:r>
        <w:rPr>
          <w:rFonts w:hint="eastAsia" w:ascii="仿宋_GB2312" w:hAnsi="仿宋_GB2312" w:cs="仿宋_GB2312"/>
          <w:lang w:val="en-US" w:eastAsia="zh-CN"/>
        </w:rPr>
        <w:t>-</w:t>
      </w:r>
      <w:r>
        <w:rPr>
          <w:rFonts w:hint="eastAsia" w:ascii="仿宋_GB2312" w:hAnsi="仿宋_GB2312" w:cs="仿宋_GB2312"/>
          <w:u w:val="single"/>
          <w:lang w:val="en-US" w:eastAsia="zh-CN"/>
        </w:rPr>
        <w:t xml:space="preserve">       </w:t>
      </w:r>
      <w:r>
        <w:rPr>
          <w:rFonts w:hint="eastAsia" w:ascii="仿宋_GB2312" w:hAnsi="仿宋_GB2312" w:cs="仿宋_GB2312"/>
          <w:lang w:val="en-US" w:eastAsia="zh-CN"/>
        </w:rPr>
        <w:t>询价</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一</w:t>
      </w:r>
      <w:r>
        <w:rPr>
          <w:rFonts w:hint="eastAsia" w:ascii="仿宋_GB2312" w:hAnsi="仿宋_GB2312" w:cs="仿宋_GB2312"/>
          <w:lang w:eastAsia="zh-CN"/>
        </w:rPr>
        <w:t>：报价</w:t>
      </w:r>
      <w:r>
        <w:rPr>
          <w:rFonts w:hint="eastAsia" w:ascii="仿宋_GB2312" w:hAnsi="仿宋_GB2312" w:cs="仿宋_GB2312"/>
          <w:lang w:val="en-US" w:eastAsia="zh-CN"/>
        </w:rPr>
        <w:t>文件；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二</w:t>
      </w:r>
      <w:r>
        <w:rPr>
          <w:rFonts w:hint="eastAsia" w:ascii="仿宋_GB2312" w:hAnsi="仿宋_GB2312" w:cs="仿宋_GB2312"/>
          <w:lang w:eastAsia="zh-CN"/>
        </w:rPr>
        <w:t>：工程量清单报价表；</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val="en-US" w:eastAsia="zh-CN"/>
        </w:rPr>
        <w:t>三</w:t>
      </w:r>
      <w:r>
        <w:rPr>
          <w:rFonts w:hint="eastAsia" w:ascii="仿宋_GB2312" w:hAnsi="仿宋_GB2312" w:cs="仿宋_GB2312"/>
          <w:lang w:eastAsia="zh-CN"/>
        </w:rPr>
        <w:t>：企业相关证件（营业执照）；</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仿宋_GB2312" w:hAnsi="仿宋_GB2312" w:cs="仿宋_GB2312"/>
          <w:lang w:eastAsia="zh-CN"/>
        </w:rPr>
        <w:sectPr>
          <w:footerReference r:id="rId4" w:type="default"/>
          <w:pgSz w:w="11906" w:h="16838"/>
          <w:pgMar w:top="1213" w:right="1236" w:bottom="1440" w:left="1803" w:header="851" w:footer="992" w:gutter="0"/>
          <w:pgNumType w:fmt="numberInDash" w:start="1"/>
          <w:cols w:space="425" w:num="1"/>
          <w:docGrid w:type="lines" w:linePitch="312" w:charSpace="0"/>
        </w:sectPr>
      </w:pPr>
      <w:r>
        <w:rPr>
          <w:rFonts w:hint="eastAsia" w:ascii="仿宋_GB2312" w:hAnsi="仿宋_GB2312" w:cs="仿宋_GB2312"/>
          <w:lang w:val="en-US" w:eastAsia="zh-CN"/>
        </w:rPr>
        <w:t>四：</w:t>
      </w:r>
      <w:r>
        <w:rPr>
          <w:rFonts w:hint="eastAsia" w:ascii="仿宋_GB2312" w:hAnsi="仿宋_GB2312" w:cs="仿宋_GB2312"/>
          <w:lang w:eastAsia="zh-CN"/>
        </w:rPr>
        <w:t>提供</w:t>
      </w:r>
      <w:r>
        <w:rPr>
          <w:rFonts w:hint="eastAsia" w:ascii="仿宋_GB2312" w:hAnsi="仿宋_GB2312" w:cs="仿宋_GB2312"/>
          <w:lang w:val="en-US" w:eastAsia="zh-CN"/>
        </w:rPr>
        <w:t>2020</w:t>
      </w:r>
      <w:r>
        <w:rPr>
          <w:rFonts w:hint="eastAsia" w:ascii="仿宋_GB2312" w:hAnsi="仿宋_GB2312" w:cs="仿宋_GB2312"/>
          <w:lang w:eastAsia="zh-CN"/>
        </w:rPr>
        <w:t xml:space="preserve">年 </w:t>
      </w:r>
      <w:r>
        <w:rPr>
          <w:rFonts w:hint="eastAsia" w:ascii="仿宋_GB2312" w:hAnsi="仿宋_GB2312" w:cs="仿宋_GB2312"/>
          <w:lang w:val="en-US" w:eastAsia="zh-CN"/>
        </w:rPr>
        <w:t>1</w:t>
      </w:r>
      <w:r>
        <w:rPr>
          <w:rFonts w:hint="eastAsia" w:ascii="仿宋_GB2312" w:hAnsi="仿宋_GB2312" w:cs="仿宋_GB2312"/>
          <w:lang w:eastAsia="zh-CN"/>
        </w:rPr>
        <w:t xml:space="preserve"> 月至今（以合同签订日期为准）（</w:t>
      </w:r>
      <w:r>
        <w:rPr>
          <w:rFonts w:hint="eastAsia" w:ascii="仿宋_GB2312" w:hAnsi="仿宋_GB2312" w:cs="仿宋_GB2312"/>
          <w:lang w:val="en-US" w:eastAsia="zh-CN"/>
        </w:rPr>
        <w:t>3</w:t>
      </w:r>
      <w:r>
        <w:rPr>
          <w:rFonts w:hint="eastAsia" w:ascii="仿宋_GB2312" w:hAnsi="仿宋_GB2312" w:cs="仿宋_GB2312"/>
          <w:lang w:eastAsia="zh-CN"/>
        </w:rPr>
        <w:t>）个同类业务合同复印件。</w:t>
      </w:r>
      <w:r>
        <w:rPr>
          <w:rFonts w:hint="eastAsia" w:ascii="仿宋_GB2312" w:hAnsi="仿宋_GB2312" w:cs="仿宋_GB2312"/>
          <w:lang w:val="en-US" w:eastAsia="zh-CN"/>
        </w:rPr>
        <w:t>（注：业绩不少于3个）</w:t>
      </w:r>
    </w:p>
    <w:p>
      <w:pPr>
        <w:spacing w:line="360" w:lineRule="auto"/>
        <w:jc w:val="left"/>
        <w:rPr>
          <w:rFonts w:hint="default" w:ascii="黑体" w:hAnsi="Times New Roman" w:eastAsia="黑体" w:cs="Times New Roman"/>
          <w:bCs/>
          <w:sz w:val="36"/>
          <w:szCs w:val="36"/>
          <w:lang w:val="en-US" w:eastAsia="zh-CN"/>
        </w:rPr>
      </w:pPr>
      <w:r>
        <w:rPr>
          <w:rFonts w:hint="eastAsia" w:ascii="黑体" w:eastAsia="黑体"/>
          <w:bCs/>
          <w:sz w:val="36"/>
          <w:szCs w:val="36"/>
        </w:rPr>
        <w:t>项目名称：</w:t>
      </w:r>
      <w:r>
        <w:rPr>
          <w:rFonts w:hint="eastAsia" w:ascii="黑体" w:hAnsi="Times New Roman" w:eastAsia="黑体" w:cs="Times New Roman"/>
          <w:bCs/>
          <w:sz w:val="36"/>
          <w:szCs w:val="36"/>
          <w:lang w:val="en-US" w:eastAsia="zh-CN"/>
        </w:rPr>
        <w:t>茂名市中医院新院区</w:t>
      </w:r>
      <w:r>
        <w:rPr>
          <w:rFonts w:hint="eastAsia" w:ascii="黑体" w:hAnsi="Times New Roman" w:eastAsia="黑体" w:cs="Times New Roman"/>
          <w:bCs/>
          <w:sz w:val="36"/>
          <w:szCs w:val="36"/>
          <w:lang w:eastAsia="zh-CN"/>
        </w:rPr>
        <w:t>项目</w:t>
      </w:r>
      <w:r>
        <w:rPr>
          <w:rFonts w:hint="eastAsia" w:ascii="黑体" w:hAnsi="Times New Roman" w:eastAsia="黑体" w:cs="Times New Roman"/>
          <w:bCs/>
          <w:sz w:val="36"/>
          <w:szCs w:val="36"/>
          <w:lang w:val="en-US" w:eastAsia="zh-CN"/>
        </w:rPr>
        <w:t>-</w:t>
      </w:r>
      <w:r>
        <w:rPr>
          <w:rFonts w:hint="eastAsia" w:ascii="黑体" w:hAnsi="Times New Roman" w:eastAsia="黑体" w:cs="Times New Roman"/>
          <w:bCs/>
          <w:sz w:val="36"/>
          <w:szCs w:val="36"/>
          <w:u w:val="single"/>
          <w:lang w:val="en-US" w:eastAsia="zh-CN"/>
        </w:rPr>
        <w:t>材料设备（        ）</w:t>
      </w:r>
      <w:r>
        <w:rPr>
          <w:rFonts w:hint="eastAsia" w:ascii="黑体" w:hAnsi="Times New Roman" w:eastAsia="黑体" w:cs="Times New Roman"/>
          <w:bCs/>
          <w:sz w:val="36"/>
          <w:szCs w:val="36"/>
          <w:lang w:val="en-US" w:eastAsia="zh-CN"/>
        </w:rPr>
        <w:t>询价</w:t>
      </w:r>
    </w:p>
    <w:p>
      <w:pPr>
        <w:widowControl/>
        <w:jc w:val="left"/>
        <w:rPr>
          <w:rStyle w:val="8"/>
          <w:sz w:val="30"/>
          <w:szCs w:val="30"/>
        </w:rPr>
      </w:pPr>
    </w:p>
    <w:p>
      <w:pPr>
        <w:pStyle w:val="9"/>
      </w:pPr>
    </w:p>
    <w:p>
      <w:pPr>
        <w:jc w:val="center"/>
        <w:rPr>
          <w:rFonts w:ascii="文星仿宋" w:eastAsia="文星仿宋" w:cs="宋体"/>
          <w:sz w:val="96"/>
          <w:szCs w:val="96"/>
        </w:rPr>
      </w:pPr>
    </w:p>
    <w:p>
      <w:pPr>
        <w:pStyle w:val="9"/>
        <w:rPr>
          <w:rFonts w:ascii="文星仿宋" w:eastAsia="文星仿宋" w:cs="宋体"/>
          <w:sz w:val="96"/>
          <w:szCs w:val="96"/>
        </w:rPr>
      </w:pPr>
    </w:p>
    <w:p>
      <w:pPr>
        <w:pStyle w:val="9"/>
        <w:rPr>
          <w:rFonts w:ascii="文星仿宋" w:eastAsia="文星仿宋" w:cs="宋体"/>
          <w:sz w:val="96"/>
          <w:szCs w:val="96"/>
        </w:rPr>
      </w:pPr>
    </w:p>
    <w:p>
      <w:pPr>
        <w:jc w:val="center"/>
        <w:rPr>
          <w:rFonts w:hint="eastAsia" w:ascii="黑体" w:eastAsia="黑体"/>
          <w:b/>
          <w:bCs/>
          <w:kern w:val="0"/>
          <w:sz w:val="72"/>
          <w:szCs w:val="72"/>
        </w:rPr>
      </w:pPr>
      <w:r>
        <w:rPr>
          <w:rFonts w:hint="eastAsia" w:ascii="黑体" w:eastAsia="黑体"/>
          <w:b/>
          <w:bCs/>
          <w:kern w:val="0"/>
          <w:sz w:val="72"/>
          <w:szCs w:val="72"/>
          <w:lang w:val="en-US" w:eastAsia="zh-CN"/>
        </w:rPr>
        <w:t>报 价</w:t>
      </w:r>
      <w:r>
        <w:rPr>
          <w:rFonts w:hint="eastAsia" w:ascii="黑体" w:eastAsia="黑体"/>
          <w:b/>
          <w:bCs/>
          <w:kern w:val="0"/>
          <w:sz w:val="72"/>
          <w:szCs w:val="72"/>
        </w:rPr>
        <w:t xml:space="preserve"> 文 件</w:t>
      </w:r>
    </w:p>
    <w:p>
      <w:pPr>
        <w:jc w:val="center"/>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rPr>
          <w:sz w:val="84"/>
          <w:szCs w:val="84"/>
        </w:rPr>
      </w:pPr>
    </w:p>
    <w:p>
      <w:pPr>
        <w:pStyle w:val="5"/>
        <w:ind w:left="0" w:firstLine="0"/>
        <w:rPr>
          <w:sz w:val="84"/>
          <w:szCs w:val="84"/>
        </w:rPr>
      </w:pPr>
    </w:p>
    <w:p>
      <w:pPr>
        <w:pStyle w:val="5"/>
        <w:rPr>
          <w:sz w:val="84"/>
          <w:szCs w:val="84"/>
        </w:rPr>
      </w:pPr>
    </w:p>
    <w:p>
      <w:pPr>
        <w:pStyle w:val="5"/>
        <w:rPr>
          <w:sz w:val="84"/>
          <w:szCs w:val="84"/>
        </w:rPr>
      </w:pPr>
    </w:p>
    <w:p>
      <w:pPr>
        <w:pStyle w:val="5"/>
        <w:rPr>
          <w:sz w:val="84"/>
          <w:szCs w:val="84"/>
        </w:rPr>
      </w:pPr>
    </w:p>
    <w:p>
      <w:pPr>
        <w:ind w:firstLine="703" w:firstLineChars="250"/>
        <w:rPr>
          <w:rFonts w:hint="eastAsia" w:ascii="黑体" w:eastAsia="黑体"/>
          <w:b/>
          <w:bCs/>
          <w:kern w:val="0"/>
          <w:sz w:val="28"/>
          <w:szCs w:val="28"/>
          <w:u w:val="single"/>
        </w:rPr>
      </w:pPr>
      <w:r>
        <w:rPr>
          <w:rFonts w:hint="eastAsia" w:ascii="黑体" w:eastAsia="黑体"/>
          <w:b/>
          <w:bCs/>
          <w:kern w:val="0"/>
          <w:sz w:val="28"/>
          <w:szCs w:val="28"/>
          <w:lang w:val="en-US" w:eastAsia="zh-CN"/>
        </w:rPr>
        <w:t>报价</w:t>
      </w:r>
      <w:r>
        <w:rPr>
          <w:rFonts w:hint="eastAsia" w:ascii="黑体" w:eastAsia="黑体"/>
          <w:b/>
          <w:bCs/>
          <w:kern w:val="0"/>
          <w:sz w:val="28"/>
          <w:szCs w:val="28"/>
        </w:rPr>
        <w:t>单位：</w:t>
      </w:r>
      <w:r>
        <w:rPr>
          <w:rFonts w:hint="eastAsia" w:ascii="黑体" w:eastAsia="黑体"/>
          <w:b/>
          <w:bCs/>
          <w:kern w:val="0"/>
          <w:sz w:val="28"/>
          <w:szCs w:val="28"/>
          <w:u w:val="single"/>
        </w:rPr>
        <w:t xml:space="preserve">                                （盖章）</w:t>
      </w:r>
    </w:p>
    <w:p>
      <w:pPr>
        <w:ind w:firstLine="703" w:firstLineChars="250"/>
      </w:pPr>
      <w:r>
        <w:rPr>
          <w:rFonts w:hint="eastAsia" w:ascii="黑体" w:eastAsia="黑体"/>
          <w:b/>
          <w:bCs/>
          <w:kern w:val="0"/>
          <w:sz w:val="28"/>
          <w:szCs w:val="28"/>
          <w:u w:val="none"/>
        </w:rPr>
        <w:t>日    期：</w:t>
      </w:r>
      <w:r>
        <w:rPr>
          <w:rFonts w:hint="eastAsia" w:ascii="黑体" w:eastAsia="黑体"/>
          <w:b/>
          <w:bCs/>
          <w:kern w:val="0"/>
          <w:sz w:val="28"/>
          <w:szCs w:val="28"/>
          <w:u w:val="single"/>
        </w:rPr>
        <w:t xml:space="preserve">        年     月     日                </w:t>
      </w:r>
    </w:p>
    <w:p>
      <w:pPr>
        <w:rPr>
          <w:rFonts w:hint="eastAsia" w:ascii="文星仿宋" w:eastAsia="文星仿宋" w:cs="宋体"/>
          <w:bCs/>
          <w:sz w:val="24"/>
        </w:rPr>
      </w:pPr>
      <w:r>
        <w:rPr>
          <w:rFonts w:hint="eastAsia" w:ascii="文星仿宋" w:eastAsia="文星仿宋" w:cs="宋体"/>
          <w:bCs/>
          <w:sz w:val="24"/>
        </w:rPr>
        <w:br w:type="page"/>
      </w:r>
    </w:p>
    <w:p>
      <w:pPr>
        <w:spacing w:line="360" w:lineRule="auto"/>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eastAsia="zh-CN"/>
        </w:rPr>
        <w:t>投标</w:t>
      </w:r>
      <w:r>
        <w:rPr>
          <w:rFonts w:hint="eastAsia" w:ascii="仿宋_GB2312" w:hAnsi="仿宋_GB2312" w:eastAsia="仿宋_GB2312" w:cs="仿宋_GB2312"/>
          <w:color w:val="auto"/>
          <w:sz w:val="28"/>
          <w:szCs w:val="28"/>
          <w:highlight w:val="none"/>
        </w:rPr>
        <w:t>文件请按以下要求的顺序和格式制作。</w:t>
      </w:r>
    </w:p>
    <w:tbl>
      <w:tblPr>
        <w:tblStyle w:val="6"/>
        <w:tblW w:w="8367" w:type="dxa"/>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6518"/>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center"/>
          </w:tcPr>
          <w:p>
            <w:pPr>
              <w:widowControl/>
              <w:spacing w:line="360" w:lineRule="auto"/>
              <w:jc w:val="center"/>
              <w:rPr>
                <w:rFonts w:hint="eastAsia" w:ascii="仿宋_GB2312" w:hAnsi="仿宋_GB2312" w:eastAsia="仿宋_GB2312" w:cs="仿宋_GB2312"/>
                <w:b/>
                <w:bCs/>
                <w:color w:val="auto"/>
                <w:kern w:val="0"/>
                <w:sz w:val="28"/>
                <w:szCs w:val="28"/>
                <w:highlight w:val="none"/>
              </w:rPr>
            </w:pPr>
            <w:r>
              <w:rPr>
                <w:rFonts w:hint="eastAsia" w:ascii="仿宋_GB2312" w:hAnsi="仿宋_GB2312" w:eastAsia="仿宋_GB2312" w:cs="仿宋_GB2312"/>
                <w:b/>
                <w:bCs/>
                <w:color w:val="auto"/>
                <w:kern w:val="0"/>
                <w:sz w:val="28"/>
                <w:szCs w:val="28"/>
                <w:highlight w:val="none"/>
              </w:rPr>
              <w:t>序号</w:t>
            </w:r>
          </w:p>
        </w:tc>
        <w:tc>
          <w:tcPr>
            <w:tcW w:w="6518" w:type="dxa"/>
            <w:noWrap w:val="0"/>
            <w:vAlign w:val="center"/>
          </w:tcPr>
          <w:p>
            <w:pPr>
              <w:widowControl/>
              <w:spacing w:line="360" w:lineRule="auto"/>
              <w:jc w:val="center"/>
              <w:rPr>
                <w:rFonts w:hint="eastAsia" w:ascii="仿宋_GB2312" w:hAnsi="仿宋_GB2312" w:eastAsia="仿宋_GB2312" w:cs="仿宋_GB2312"/>
                <w:b/>
                <w:bCs/>
                <w:color w:val="auto"/>
                <w:kern w:val="0"/>
                <w:sz w:val="28"/>
                <w:szCs w:val="28"/>
                <w:highlight w:val="none"/>
              </w:rPr>
            </w:pPr>
            <w:r>
              <w:rPr>
                <w:rFonts w:hint="eastAsia" w:ascii="仿宋_GB2312" w:hAnsi="仿宋_GB2312" w:eastAsia="仿宋_GB2312" w:cs="仿宋_GB2312"/>
                <w:b/>
                <w:bCs/>
                <w:color w:val="auto"/>
                <w:kern w:val="0"/>
                <w:sz w:val="28"/>
                <w:szCs w:val="28"/>
                <w:highlight w:val="none"/>
              </w:rPr>
              <w:t>内      容</w:t>
            </w:r>
          </w:p>
        </w:tc>
        <w:tc>
          <w:tcPr>
            <w:tcW w:w="1064" w:type="dxa"/>
            <w:noWrap w:val="0"/>
            <w:vAlign w:val="center"/>
          </w:tcPr>
          <w:p>
            <w:pPr>
              <w:widowControl/>
              <w:spacing w:line="360" w:lineRule="auto"/>
              <w:jc w:val="center"/>
              <w:rPr>
                <w:rFonts w:hint="eastAsia" w:ascii="仿宋_GB2312" w:hAnsi="仿宋_GB2312" w:eastAsia="仿宋_GB2312" w:cs="仿宋_GB2312"/>
                <w:b/>
                <w:bCs/>
                <w:color w:val="auto"/>
                <w:kern w:val="0"/>
                <w:sz w:val="28"/>
                <w:szCs w:val="28"/>
                <w:highlight w:val="none"/>
              </w:rPr>
            </w:pPr>
            <w:r>
              <w:rPr>
                <w:rFonts w:hint="eastAsia" w:ascii="仿宋_GB2312" w:hAnsi="仿宋_GB2312" w:eastAsia="仿宋_GB2312" w:cs="仿宋_GB2312"/>
                <w:b/>
                <w:bCs/>
                <w:color w:val="auto"/>
                <w:kern w:val="0"/>
                <w:sz w:val="28"/>
                <w:szCs w:val="28"/>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lang w:val="en-US" w:eastAsia="zh-CN"/>
              </w:rPr>
              <w:t>询价</w:t>
            </w:r>
            <w:r>
              <w:rPr>
                <w:rFonts w:hint="eastAsia" w:ascii="仿宋_GB2312" w:hAnsi="仿宋_GB2312" w:eastAsia="仿宋_GB2312" w:cs="仿宋_GB2312"/>
                <w:color w:val="auto"/>
                <w:kern w:val="0"/>
                <w:sz w:val="28"/>
                <w:szCs w:val="28"/>
                <w:highlight w:val="none"/>
                <w:lang w:eastAsia="zh-CN"/>
              </w:rPr>
              <w:t>文件封面</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目录</w:t>
            </w:r>
            <w:r>
              <w:rPr>
                <w:rFonts w:hint="eastAsia" w:ascii="仿宋_GB2312" w:hAnsi="仿宋_GB2312" w:eastAsia="仿宋_GB2312" w:cs="仿宋_GB2312"/>
                <w:color w:val="auto"/>
                <w:kern w:val="0"/>
                <w:sz w:val="28"/>
                <w:szCs w:val="28"/>
                <w:highlight w:val="none"/>
                <w:lang w:eastAsia="zh-CN"/>
              </w:rPr>
              <w:t>（可直接摘录本页）</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default" w:ascii="仿宋_GB2312" w:hAnsi="仿宋_GB2312" w:eastAsia="仿宋_GB2312" w:cs="仿宋_GB2312"/>
                <w:color w:val="auto"/>
                <w:kern w:val="0"/>
                <w:sz w:val="28"/>
                <w:szCs w:val="28"/>
                <w:highlight w:val="none"/>
                <w:lang w:val="en-US" w:eastAsia="zh-CN" w:bidi="ar-SA"/>
              </w:rPr>
            </w:pPr>
            <w:r>
              <w:rPr>
                <w:rFonts w:hint="eastAsia" w:ascii="仿宋_GB2312" w:hAnsi="仿宋_GB2312" w:cs="仿宋_GB2312"/>
                <w:color w:val="auto"/>
                <w:kern w:val="0"/>
                <w:sz w:val="28"/>
                <w:szCs w:val="28"/>
                <w:highlight w:val="none"/>
                <w:lang w:val="en-US" w:eastAsia="zh-CN"/>
              </w:rPr>
              <w:t>询价</w:t>
            </w:r>
            <w:r>
              <w:rPr>
                <w:rFonts w:hint="eastAsia" w:ascii="仿宋_GB2312" w:hAnsi="仿宋_GB2312" w:eastAsia="仿宋_GB2312" w:cs="仿宋_GB2312"/>
                <w:color w:val="auto"/>
                <w:kern w:val="0"/>
                <w:sz w:val="28"/>
                <w:szCs w:val="28"/>
                <w:highlight w:val="none"/>
                <w:lang w:eastAsia="zh-CN"/>
              </w:rPr>
              <w:t>报价</w:t>
            </w:r>
            <w:r>
              <w:rPr>
                <w:rFonts w:hint="eastAsia" w:ascii="仿宋_GB2312" w:hAnsi="仿宋_GB2312" w:eastAsia="仿宋_GB2312" w:cs="仿宋_GB2312"/>
                <w:color w:val="auto"/>
                <w:kern w:val="0"/>
                <w:sz w:val="28"/>
                <w:szCs w:val="28"/>
                <w:highlight w:val="none"/>
                <w:lang w:val="en-US" w:eastAsia="zh-CN"/>
              </w:rPr>
              <w:t>书</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default"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lang w:eastAsia="zh-CN"/>
              </w:rPr>
              <w:t>营业执照</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lang w:val="en-US" w:eastAsia="zh-CN"/>
              </w:rPr>
              <w:t>工程量清单报价表</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785" w:type="dxa"/>
            <w:noWrap w:val="0"/>
            <w:vAlign w:val="bottom"/>
          </w:tcPr>
          <w:p>
            <w:pPr>
              <w:widowControl/>
              <w:numPr>
                <w:ilvl w:val="0"/>
                <w:numId w:val="6"/>
              </w:numPr>
              <w:spacing w:line="360" w:lineRule="auto"/>
              <w:jc w:val="center"/>
              <w:rPr>
                <w:rFonts w:hint="eastAsia" w:ascii="仿宋_GB2312" w:hAnsi="仿宋_GB2312" w:eastAsia="仿宋_GB2312" w:cs="仿宋_GB2312"/>
                <w:color w:val="auto"/>
                <w:kern w:val="0"/>
                <w:sz w:val="28"/>
                <w:szCs w:val="28"/>
                <w:highlight w:val="none"/>
              </w:rPr>
            </w:pPr>
          </w:p>
        </w:tc>
        <w:tc>
          <w:tcPr>
            <w:tcW w:w="6518" w:type="dxa"/>
            <w:noWrap w:val="0"/>
            <w:vAlign w:val="center"/>
          </w:tcPr>
          <w:p>
            <w:pPr>
              <w:widowControl/>
              <w:spacing w:line="360" w:lineRule="auto"/>
              <w:rPr>
                <w:rFonts w:hint="default" w:ascii="仿宋_GB2312" w:hAnsi="仿宋_GB2312" w:eastAsia="仿宋_GB2312" w:cs="仿宋_GB2312"/>
                <w:color w:val="auto"/>
                <w:kern w:val="0"/>
                <w:sz w:val="28"/>
                <w:szCs w:val="28"/>
                <w:highlight w:val="none"/>
                <w:lang w:val="en-US" w:eastAsia="zh-CN"/>
              </w:rPr>
            </w:pPr>
            <w:r>
              <w:rPr>
                <w:rFonts w:hint="eastAsia" w:ascii="仿宋_GB2312" w:hAnsi="仿宋_GB2312" w:eastAsia="仿宋_GB2312" w:cs="仿宋_GB2312"/>
                <w:color w:val="auto"/>
                <w:kern w:val="0"/>
                <w:sz w:val="28"/>
                <w:szCs w:val="28"/>
                <w:highlight w:val="none"/>
                <w:lang w:val="en-US" w:eastAsia="zh-CN"/>
              </w:rPr>
              <w:t>企业业绩</w:t>
            </w:r>
          </w:p>
        </w:tc>
        <w:tc>
          <w:tcPr>
            <w:tcW w:w="1064" w:type="dxa"/>
            <w:noWrap w:val="0"/>
            <w:vAlign w:val="bottom"/>
          </w:tcPr>
          <w:p>
            <w:pPr>
              <w:widowControl/>
              <w:spacing w:line="360" w:lineRule="auto"/>
              <w:rPr>
                <w:rFonts w:hint="eastAsia" w:ascii="仿宋_GB2312" w:hAnsi="仿宋_GB2312" w:eastAsia="仿宋_GB2312" w:cs="仿宋_GB2312"/>
                <w:color w:val="auto"/>
                <w:kern w:val="0"/>
                <w:sz w:val="28"/>
                <w:szCs w:val="28"/>
                <w:highlight w:val="none"/>
              </w:rPr>
            </w:pPr>
          </w:p>
        </w:tc>
      </w:tr>
    </w:tbl>
    <w:p>
      <w:pPr>
        <w:rPr>
          <w:rFonts w:hint="eastAsia" w:ascii="方正仿宋_GB18030" w:hAnsi="方正仿宋_GB18030" w:eastAsia="方正仿宋_GB18030" w:cs="方正仿宋_GB18030"/>
          <w:b/>
          <w:sz w:val="30"/>
          <w:szCs w:val="30"/>
        </w:rPr>
      </w:pPr>
      <w:r>
        <w:rPr>
          <w:rFonts w:hint="eastAsia" w:ascii="方正仿宋_GB18030" w:hAnsi="方正仿宋_GB18030" w:eastAsia="方正仿宋_GB18030" w:cs="方正仿宋_GB18030"/>
          <w:b/>
          <w:sz w:val="30"/>
          <w:szCs w:val="30"/>
        </w:rPr>
        <w:br w:type="page"/>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附</w:t>
      </w:r>
      <w:bookmarkStart w:id="37" w:name="_Toc296347224"/>
      <w:bookmarkStart w:id="38" w:name="_Toc296944564"/>
      <w:bookmarkStart w:id="39" w:name="_Toc296346726"/>
      <w:bookmarkStart w:id="40" w:name="_Toc296503225"/>
      <w:bookmarkStart w:id="41" w:name="_Toc296891053"/>
      <w:bookmarkStart w:id="42" w:name="_Toc267261692"/>
      <w:bookmarkStart w:id="43" w:name="_Toc296891265"/>
      <w:r>
        <w:rPr>
          <w:rFonts w:hint="eastAsia" w:ascii="黑体" w:hAnsi="黑体" w:eastAsia="黑体" w:cs="黑体"/>
          <w:lang w:val="en-US" w:eastAsia="zh-CN"/>
        </w:rPr>
        <w:t>件1：</w:t>
      </w:r>
    </w:p>
    <w:bookmarkEnd w:id="37"/>
    <w:bookmarkEnd w:id="38"/>
    <w:bookmarkEnd w:id="39"/>
    <w:bookmarkEnd w:id="40"/>
    <w:bookmarkEnd w:id="41"/>
    <w:bookmarkEnd w:id="42"/>
    <w:bookmarkEnd w:id="43"/>
    <w:p>
      <w:pPr>
        <w:keepNext/>
        <w:keepLines/>
        <w:spacing w:line="360" w:lineRule="auto"/>
        <w:jc w:val="center"/>
        <w:outlineLvl w:val="0"/>
        <w:rPr>
          <w:bCs/>
          <w:sz w:val="36"/>
          <w:szCs w:val="36"/>
        </w:rPr>
      </w:pPr>
      <w:bookmarkStart w:id="44" w:name="_Toc11396"/>
      <w:r>
        <w:rPr>
          <w:rFonts w:hint="eastAsia"/>
          <w:bCs/>
          <w:sz w:val="36"/>
          <w:szCs w:val="36"/>
          <w:lang w:val="en-US" w:eastAsia="zh-CN"/>
        </w:rPr>
        <w:t>询价</w:t>
      </w:r>
      <w:r>
        <w:rPr>
          <w:rFonts w:hint="eastAsia"/>
          <w:bCs/>
          <w:sz w:val="36"/>
          <w:szCs w:val="36"/>
        </w:rPr>
        <w:t>报价书</w:t>
      </w:r>
      <w:bookmarkEnd w:id="44"/>
    </w:p>
    <w:p>
      <w:pPr>
        <w:widowControl/>
        <w:spacing w:before="100" w:beforeAutospacing="1" w:after="100" w:afterAutospacing="1" w:line="480" w:lineRule="auto"/>
        <w:jc w:val="left"/>
        <w:outlineLvl w:val="0"/>
        <w:rPr>
          <w:rFonts w:hint="eastAsia" w:ascii="宋体" w:hAnsi="宋体" w:eastAsia="宋体" w:cs="宋体"/>
          <w:bCs/>
          <w:sz w:val="28"/>
          <w:szCs w:val="28"/>
          <w:u w:val="single"/>
        </w:rPr>
      </w:pPr>
      <w:bookmarkStart w:id="45" w:name="_Toc27842"/>
      <w:r>
        <w:rPr>
          <w:rFonts w:hint="eastAsia" w:ascii="宋体" w:hAnsi="宋体" w:cs="宋体"/>
          <w:bCs/>
          <w:sz w:val="28"/>
          <w:szCs w:val="28"/>
        </w:rPr>
        <w:t>致</w:t>
      </w:r>
      <w:r>
        <w:rPr>
          <w:rFonts w:hint="eastAsia" w:ascii="宋体" w:hAnsi="宋体" w:cs="宋体"/>
          <w:bCs/>
          <w:sz w:val="28"/>
          <w:szCs w:val="28"/>
          <w:lang w:val="en-US" w:eastAsia="zh-CN"/>
        </w:rPr>
        <w:t>询价</w:t>
      </w:r>
      <w:r>
        <w:rPr>
          <w:rFonts w:hint="eastAsia" w:ascii="宋体" w:hAnsi="宋体" w:cs="宋体"/>
          <w:bCs/>
          <w:sz w:val="28"/>
          <w:szCs w:val="28"/>
        </w:rPr>
        <w:t>人：</w:t>
      </w:r>
      <w:r>
        <w:rPr>
          <w:rFonts w:hint="eastAsia" w:ascii="宋体" w:hAnsi="宋体" w:eastAsia="宋体" w:cs="宋体"/>
          <w:bCs/>
          <w:sz w:val="28"/>
          <w:szCs w:val="28"/>
          <w:u w:val="single"/>
          <w:lang w:val="en-US" w:eastAsia="zh-CN"/>
        </w:rPr>
        <w:t>中量工程咨询有限公司</w:t>
      </w:r>
      <w:bookmarkEnd w:id="45"/>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宋体" w:hAnsi="宋体" w:cs="宋体"/>
          <w:bCs/>
          <w:sz w:val="28"/>
          <w:szCs w:val="28"/>
        </w:rPr>
      </w:pPr>
      <w:r>
        <w:rPr>
          <w:rFonts w:hint="eastAsia" w:ascii="宋体" w:hAnsi="宋体" w:cs="宋体"/>
          <w:bCs/>
          <w:sz w:val="28"/>
          <w:szCs w:val="28"/>
        </w:rPr>
        <w:t>我单位已详细阅读了</w:t>
      </w:r>
      <w:r>
        <w:rPr>
          <w:rFonts w:hint="eastAsia" w:ascii="宋体" w:hAnsi="宋体" w:eastAsia="宋体" w:cs="宋体"/>
          <w:bCs/>
          <w:sz w:val="28"/>
          <w:szCs w:val="28"/>
          <w:u w:val="single"/>
          <w:lang w:val="en-US" w:eastAsia="zh-CN"/>
        </w:rPr>
        <w:t>茂名市中医院新院区</w:t>
      </w:r>
      <w:r>
        <w:rPr>
          <w:rFonts w:hint="eastAsia" w:ascii="宋体" w:hAnsi="宋体" w:eastAsia="宋体" w:cs="宋体"/>
          <w:bCs/>
          <w:sz w:val="28"/>
          <w:szCs w:val="28"/>
          <w:u w:val="single"/>
          <w:lang w:eastAsia="zh-CN"/>
        </w:rPr>
        <w:t>项目</w:t>
      </w:r>
      <w:r>
        <w:rPr>
          <w:rFonts w:hint="eastAsia" w:ascii="宋体" w:hAnsi="宋体" w:eastAsia="宋体" w:cs="宋体"/>
          <w:bCs/>
          <w:sz w:val="28"/>
          <w:szCs w:val="28"/>
          <w:u w:val="single"/>
          <w:lang w:val="en-US" w:eastAsia="zh-CN"/>
        </w:rPr>
        <w:t>-纯水设备（        ）询价</w:t>
      </w:r>
      <w:r>
        <w:rPr>
          <w:rFonts w:hint="eastAsia" w:ascii="宋体" w:hAnsi="宋体" w:cs="宋体"/>
          <w:bCs/>
          <w:sz w:val="28"/>
          <w:szCs w:val="28"/>
        </w:rPr>
        <w:t>文件，愿意以:总价人民币大写：</w:t>
      </w:r>
      <w:r>
        <w:rPr>
          <w:rFonts w:hint="eastAsia" w:ascii="宋体" w:hAnsi="宋体" w:cs="宋体"/>
          <w:bCs/>
          <w:sz w:val="28"/>
          <w:szCs w:val="28"/>
          <w:u w:val="single"/>
        </w:rPr>
        <w:t xml:space="preserve">   佰  拾  万  仟  佰  拾  元  角  分 （小写￥              ）</w:t>
      </w:r>
      <w:r>
        <w:rPr>
          <w:rFonts w:hint="eastAsia" w:ascii="宋体" w:hAnsi="宋体" w:cs="宋体"/>
          <w:bCs/>
          <w:sz w:val="28"/>
          <w:szCs w:val="28"/>
        </w:rPr>
        <w:t>按照</w:t>
      </w:r>
      <w:r>
        <w:rPr>
          <w:rFonts w:hint="eastAsia" w:ascii="宋体" w:hAnsi="宋体" w:cs="宋体"/>
          <w:bCs/>
          <w:sz w:val="28"/>
          <w:szCs w:val="28"/>
          <w:lang w:val="en-US" w:eastAsia="zh-CN"/>
        </w:rPr>
        <w:t>询价文件</w:t>
      </w:r>
      <w:r>
        <w:rPr>
          <w:rFonts w:hint="eastAsia" w:ascii="宋体" w:hAnsi="宋体" w:cs="宋体"/>
          <w:bCs/>
          <w:sz w:val="28"/>
          <w:szCs w:val="28"/>
        </w:rPr>
        <w:t>、国家相关行业规范承接上述项目。</w:t>
      </w:r>
    </w:p>
    <w:p>
      <w:pPr>
        <w:spacing w:line="640" w:lineRule="exact"/>
        <w:ind w:right="-89" w:firstLine="2800" w:firstLineChars="1000"/>
        <w:jc w:val="left"/>
        <w:rPr>
          <w:rFonts w:ascii="宋体" w:hAnsi="宋体" w:cs="宋体"/>
          <w:bCs/>
          <w:sz w:val="28"/>
          <w:szCs w:val="28"/>
        </w:rPr>
      </w:pPr>
    </w:p>
    <w:p>
      <w:pPr>
        <w:spacing w:line="640" w:lineRule="exact"/>
        <w:ind w:right="-89" w:firstLine="2800" w:firstLineChars="1000"/>
        <w:jc w:val="left"/>
        <w:rPr>
          <w:rFonts w:ascii="宋体" w:hAnsi="宋体" w:cs="宋体"/>
          <w:bCs/>
          <w:sz w:val="28"/>
          <w:szCs w:val="28"/>
        </w:rPr>
      </w:pPr>
    </w:p>
    <w:p>
      <w:pPr>
        <w:spacing w:line="640" w:lineRule="exact"/>
        <w:ind w:right="-89" w:firstLine="2800" w:firstLineChars="1000"/>
        <w:jc w:val="left"/>
        <w:rPr>
          <w:rFonts w:ascii="宋体" w:hAnsi="宋体" w:cs="宋体"/>
          <w:bCs/>
          <w:sz w:val="28"/>
          <w:szCs w:val="28"/>
        </w:rPr>
      </w:pPr>
      <w:r>
        <w:rPr>
          <w:rFonts w:hint="eastAsia" w:ascii="宋体" w:hAnsi="宋体" w:cs="宋体"/>
          <w:bCs/>
          <w:sz w:val="28"/>
          <w:szCs w:val="28"/>
        </w:rPr>
        <w:t xml:space="preserve">         </w:t>
      </w:r>
      <w:r>
        <w:rPr>
          <w:rFonts w:hint="eastAsia" w:ascii="宋体" w:hAnsi="宋体" w:cs="宋体"/>
          <w:bCs/>
          <w:sz w:val="28"/>
          <w:szCs w:val="28"/>
          <w:lang w:val="en-US" w:eastAsia="zh-CN"/>
        </w:rPr>
        <w:t>报价</w:t>
      </w:r>
      <w:r>
        <w:rPr>
          <w:rFonts w:hint="eastAsia" w:ascii="宋体" w:hAnsi="宋体" w:cs="宋体"/>
          <w:bCs/>
          <w:sz w:val="28"/>
          <w:szCs w:val="28"/>
        </w:rPr>
        <w:t>人盖章：</w:t>
      </w:r>
    </w:p>
    <w:p>
      <w:pPr>
        <w:spacing w:line="640" w:lineRule="exact"/>
        <w:ind w:left="6699" w:leftChars="256" w:right="-89" w:hanging="5880" w:hangingChars="2100"/>
        <w:jc w:val="left"/>
        <w:rPr>
          <w:rFonts w:ascii="宋体" w:hAnsi="宋体"/>
          <w:b/>
          <w:sz w:val="28"/>
          <w:szCs w:val="28"/>
        </w:rPr>
      </w:pPr>
      <w:r>
        <w:rPr>
          <w:rFonts w:hint="eastAsia" w:ascii="宋体" w:hAnsi="宋体" w:cs="宋体"/>
          <w:bCs/>
          <w:sz w:val="28"/>
          <w:szCs w:val="28"/>
        </w:rPr>
        <w:t xml:space="preserve">                                            年  月  日</w:t>
      </w:r>
      <w:r>
        <w:rPr>
          <w:rFonts w:ascii="宋体" w:hAnsi="宋体"/>
          <w:b/>
          <w:sz w:val="28"/>
          <w:szCs w:val="28"/>
        </w:rPr>
        <w:t xml:space="preserve"> </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left"/>
        <w:textAlignment w:val="auto"/>
        <w:rPr>
          <w:rFonts w:ascii="Calibri" w:hAnsi="Calibri" w:eastAsia="宋体" w:cs="Times New Roman"/>
          <w:color w:val="auto"/>
          <w:kern w:val="2"/>
          <w:sz w:val="24"/>
          <w:szCs w:val="24"/>
          <w:lang w:val="en-US" w:eastAsia="zh-CN" w:bidi="ar-SA"/>
        </w:rPr>
      </w:pPr>
      <w:r>
        <w:rPr>
          <w:rFonts w:ascii="宋体" w:hAnsi="宋体"/>
          <w:b/>
          <w:sz w:val="24"/>
        </w:rPr>
        <w:br w:type="page"/>
      </w:r>
      <w:r>
        <w:rPr>
          <w:rFonts w:hint="eastAsia" w:ascii="黑体" w:hAnsi="黑体" w:eastAsia="黑体" w:cs="黑体"/>
          <w:lang w:val="en-US" w:eastAsia="zh-CN"/>
        </w:rPr>
        <w:t>附件2：</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center"/>
        <w:textAlignment w:val="auto"/>
        <w:rPr>
          <w:rFonts w:hint="eastAsia" w:ascii="Calibri" w:hAnsi="Calibri" w:eastAsia="宋体" w:cs="Times New Roman"/>
          <w:color w:val="auto"/>
          <w:kern w:val="2"/>
          <w:sz w:val="32"/>
          <w:szCs w:val="36"/>
          <w:lang w:val="en-US" w:eastAsia="zh-CN" w:bidi="ar-SA"/>
        </w:rPr>
      </w:pPr>
      <w:r>
        <w:rPr>
          <w:rFonts w:hint="eastAsia" w:ascii="Calibri" w:hAnsi="Calibri" w:eastAsia="宋体" w:cs="Times New Roman"/>
          <w:color w:val="auto"/>
          <w:kern w:val="2"/>
          <w:sz w:val="32"/>
          <w:szCs w:val="36"/>
          <w:lang w:val="en-US" w:eastAsia="zh-CN" w:bidi="ar-SA"/>
        </w:rPr>
        <w:t>营业执照</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left"/>
        <w:textAlignment w:val="auto"/>
        <w:rPr>
          <w:rFonts w:ascii="Calibri" w:hAnsi="Calibri" w:eastAsia="宋体" w:cs="Times New Roman"/>
          <w:color w:val="auto"/>
          <w:kern w:val="2"/>
          <w:sz w:val="24"/>
          <w:szCs w:val="24"/>
          <w:lang w:val="en-US" w:eastAsia="zh-CN" w:bidi="ar-SA"/>
        </w:rPr>
      </w:pPr>
      <w:r>
        <w:rPr>
          <w:rFonts w:hint="eastAsia" w:ascii="Calibri" w:hAnsi="Calibri" w:eastAsia="宋体" w:cs="Times New Roman"/>
          <w:color w:val="auto"/>
          <w:kern w:val="2"/>
          <w:sz w:val="32"/>
          <w:szCs w:val="36"/>
          <w:lang w:val="en-US" w:eastAsia="zh-CN" w:bidi="ar-SA"/>
        </w:rPr>
        <w:br w:type="page"/>
      </w:r>
      <w:r>
        <w:rPr>
          <w:rFonts w:hint="eastAsia" w:ascii="黑体" w:hAnsi="黑体" w:eastAsia="黑体" w:cs="黑体"/>
          <w:lang w:val="en-US" w:eastAsia="zh-CN"/>
        </w:rPr>
        <w:t>附件3：</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center"/>
        <w:textAlignment w:val="auto"/>
        <w:rPr>
          <w:rFonts w:hint="default" w:ascii="Calibri" w:hAnsi="Calibri" w:eastAsia="宋体" w:cs="Times New Roman"/>
          <w:color w:val="auto"/>
          <w:kern w:val="2"/>
          <w:sz w:val="32"/>
          <w:szCs w:val="36"/>
          <w:lang w:val="en-US" w:eastAsia="zh-CN" w:bidi="ar-SA"/>
        </w:rPr>
      </w:pPr>
      <w:r>
        <w:rPr>
          <w:rFonts w:hint="eastAsia" w:cs="Times New Roman"/>
          <w:color w:val="auto"/>
          <w:kern w:val="2"/>
          <w:sz w:val="32"/>
          <w:szCs w:val="36"/>
          <w:lang w:val="en-US" w:eastAsia="zh-CN" w:bidi="ar-SA"/>
        </w:rPr>
        <w:t>工程量清单报价表</w:t>
      </w:r>
    </w:p>
    <w:p>
      <w:pPr>
        <w:keepNext w:val="0"/>
        <w:keepLines w:val="0"/>
        <w:pageBreakBefore w:val="0"/>
        <w:widowControl w:val="0"/>
        <w:kinsoku/>
        <w:wordWrap/>
        <w:overflowPunct/>
        <w:topLinePunct w:val="0"/>
        <w:autoSpaceDE/>
        <w:autoSpaceDN/>
        <w:bidi w:val="0"/>
        <w:adjustRightInd/>
        <w:snapToGrid/>
        <w:spacing w:line="640" w:lineRule="exact"/>
        <w:ind w:left="819" w:leftChars="256" w:right="-91" w:firstLine="0" w:firstLineChars="0"/>
        <w:jc w:val="left"/>
        <w:textAlignment w:val="auto"/>
        <w:rPr>
          <w:rFonts w:hint="default"/>
          <w:b/>
          <w:lang w:val="en-US"/>
        </w:rPr>
      </w:pPr>
    </w:p>
    <w:p>
      <w:pPr>
        <w:pStyle w:val="9"/>
        <w:rPr>
          <w:rFonts w:hint="eastAsia" w:ascii="方正仿宋_GB18030" w:hAnsi="方正仿宋_GB18030" w:eastAsia="方正仿宋_GB18030" w:cs="方正仿宋_GB18030"/>
          <w:b/>
          <w:sz w:val="30"/>
          <w:szCs w:val="30"/>
          <w:lang w:val="en-US" w:eastAsia="zh-CN"/>
        </w:rPr>
      </w:pPr>
      <w:r>
        <w:rPr>
          <w:rFonts w:hint="eastAsia" w:ascii="方正仿宋_GB18030" w:hAnsi="方正仿宋_GB18030" w:eastAsia="方正仿宋_GB18030" w:cs="方正仿宋_GB18030"/>
          <w:b/>
          <w:sz w:val="30"/>
          <w:szCs w:val="30"/>
        </w:rPr>
        <w:br w:type="page"/>
      </w:r>
      <w:r>
        <w:rPr>
          <w:rFonts w:hint="eastAsia" w:ascii="黑体" w:hAnsi="黑体" w:eastAsia="黑体" w:cs="黑体"/>
          <w:color w:val="auto"/>
          <w:kern w:val="2"/>
          <w:sz w:val="32"/>
          <w:szCs w:val="32"/>
          <w:lang w:val="en-US" w:eastAsia="zh-CN" w:bidi="ar-SA"/>
        </w:rPr>
        <w:t>附件4：</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jc w:val="center"/>
        <w:textAlignment w:val="auto"/>
        <w:outlineLvl w:val="0"/>
      </w:pPr>
      <w:bookmarkStart w:id="46" w:name="_Toc32748"/>
      <w:r>
        <w:rPr>
          <w:rFonts w:hint="eastAsia" w:ascii="Times New Roman" w:hAnsi="Times New Roman" w:eastAsia="宋体" w:cs="Times New Roman"/>
          <w:color w:val="auto"/>
          <w:kern w:val="2"/>
          <w:sz w:val="32"/>
          <w:szCs w:val="36"/>
          <w:lang w:val="en-US" w:eastAsia="zh-CN" w:bidi="ar-SA"/>
        </w:rPr>
        <w:t>企业业绩</w:t>
      </w:r>
      <w:bookmarkEnd w:id="46"/>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0FD075C-ECC1-446E-BA92-B1D391239F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4DA721F-AE73-4164-9A3B-1C6FEDA502BC}"/>
  </w:font>
  <w:font w:name="仿宋_GB2312">
    <w:panose1 w:val="02010609030101010101"/>
    <w:charset w:val="86"/>
    <w:family w:val="auto"/>
    <w:pitch w:val="default"/>
    <w:sig w:usb0="00000001" w:usb1="080E0000" w:usb2="00000000" w:usb3="00000000" w:csb0="00040000" w:csb1="00000000"/>
    <w:embedRegular r:id="rId3" w:fontKey="{C3E7DFE7-D9BD-4AFB-8561-7BF01C15C0D2}"/>
  </w:font>
  <w:font w:name="方正小标宋简体">
    <w:panose1 w:val="02000000000000000000"/>
    <w:charset w:val="86"/>
    <w:family w:val="auto"/>
    <w:pitch w:val="default"/>
    <w:sig w:usb0="00000001" w:usb1="08000000" w:usb2="00000000" w:usb3="00000000" w:csb0="00040000" w:csb1="00000000"/>
    <w:embedRegular r:id="rId4" w:fontKey="{DCE7CF53-0CCA-4903-9190-767FC2389D9E}"/>
  </w:font>
  <w:font w:name="楷体_GB2312">
    <w:panose1 w:val="02010609030101010101"/>
    <w:charset w:val="86"/>
    <w:family w:val="auto"/>
    <w:pitch w:val="default"/>
    <w:sig w:usb0="00000001" w:usb1="080E0000" w:usb2="00000000" w:usb3="00000000" w:csb0="00040000" w:csb1="00000000"/>
    <w:embedRegular r:id="rId5" w:fontKey="{C40C1219-0C2E-4108-858B-CE620429CF14}"/>
  </w:font>
  <w:font w:name="方正仿宋_GB2312">
    <w:panose1 w:val="02000000000000000000"/>
    <w:charset w:val="86"/>
    <w:family w:val="auto"/>
    <w:pitch w:val="default"/>
    <w:sig w:usb0="A00002BF" w:usb1="184F6CFA" w:usb2="00000012" w:usb3="00000000" w:csb0="00040001" w:csb1="00000000"/>
    <w:embedRegular r:id="rId6" w:fontKey="{D060512C-B48C-4023-B638-3FA84BA5AC07}"/>
  </w:font>
  <w:font w:name="方正仿宋_GB18030">
    <w:panose1 w:val="02000000000000000000"/>
    <w:charset w:val="86"/>
    <w:family w:val="auto"/>
    <w:pitch w:val="default"/>
    <w:sig w:usb0="00000001" w:usb1="08000000" w:usb2="00000000" w:usb3="00000000" w:csb0="00040000" w:csb1="00000000"/>
    <w:embedRegular r:id="rId7" w:fontKey="{12776E01-2367-4379-978C-144165AA2C83}"/>
  </w:font>
  <w:font w:name="文星仿宋">
    <w:altName w:val="仿宋"/>
    <w:panose1 w:val="00000000000000000000"/>
    <w:charset w:val="86"/>
    <w:family w:val="modern"/>
    <w:pitch w:val="default"/>
    <w:sig w:usb0="00000000" w:usb1="00000000" w:usb2="00000010" w:usb3="00000000" w:csb0="00040000" w:csb1="00000000"/>
    <w:embedRegular r:id="rId8" w:fontKey="{D1722A89-4C3C-4A11-8983-8AE9E7B4E397}"/>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inside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577850" cy="2457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7850" cy="2457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PAGE  \* MERGEFORMAT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3</w:t>
                          </w:r>
                          <w:r>
                            <w:rPr>
                              <w:rFonts w:hint="eastAsia" w:ascii="仿宋_GB2312" w:hAnsi="仿宋_GB2312" w:eastAsia="仿宋_GB2312" w:cs="仿宋_GB2312"/>
                              <w:sz w:val="21"/>
                              <w:szCs w:val="21"/>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9.35pt;width:45.5pt;mso-position-horizontal:inside;mso-position-horizontal-relative:margin;z-index:251659264;mso-width-relative:page;mso-height-relative:page;" filled="f" stroked="f" coordsize="21600,21600" o:gfxdata="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YsVY50gAAAAMBAAAPAAAAAAAAAAEAIAAAACIAAABkcnMvZG93bnJldi54bWxQ&#10;SwECFAAUAAAACACHTuJATgOpaDYCAABhBAAADgAAAAAAAAABACAAAAAhAQAAZHJzL2Uyb0RvYy54&#10;bWxQSwUGAAAAAAYABgBZAQAAyQUAAAAA&#10;">
              <v:fill on="f" focussize="0,0"/>
              <v:stroke on="f" weight="0.5pt"/>
              <v:imagedata o:title=""/>
              <o:lock v:ext="edit" aspectratio="f"/>
              <v:textbox inset="0mm,0mm,0mm,0mm">
                <w:txbxContent>
                  <w:p>
                    <w:pPr>
                      <w:pStyle w:val="3"/>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fldChar w:fldCharType="begin"/>
                    </w:r>
                    <w:r>
                      <w:rPr>
                        <w:rFonts w:hint="eastAsia" w:ascii="仿宋_GB2312" w:hAnsi="仿宋_GB2312" w:eastAsia="仿宋_GB2312" w:cs="仿宋_GB2312"/>
                        <w:sz w:val="21"/>
                        <w:szCs w:val="21"/>
                      </w:rPr>
                      <w:instrText xml:space="preserve"> PAGE  \* MERGEFORMAT </w:instrText>
                    </w:r>
                    <w:r>
                      <w:rPr>
                        <w:rFonts w:hint="eastAsia" w:ascii="仿宋_GB2312" w:hAnsi="仿宋_GB2312" w:eastAsia="仿宋_GB2312" w:cs="仿宋_GB2312"/>
                        <w:sz w:val="21"/>
                        <w:szCs w:val="21"/>
                      </w:rPr>
                      <w:fldChar w:fldCharType="separate"/>
                    </w:r>
                    <w:r>
                      <w:rPr>
                        <w:rFonts w:hint="eastAsia" w:ascii="仿宋_GB2312" w:hAnsi="仿宋_GB2312" w:eastAsia="仿宋_GB2312" w:cs="仿宋_GB2312"/>
                        <w:sz w:val="21"/>
                        <w:szCs w:val="21"/>
                      </w:rPr>
                      <w:t>3</w:t>
                    </w:r>
                    <w:r>
                      <w:rPr>
                        <w:rFonts w:hint="eastAsia" w:ascii="仿宋_GB2312" w:hAnsi="仿宋_GB2312" w:eastAsia="仿宋_GB2312" w:cs="仿宋_GB2312"/>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3A217E"/>
    <w:multiLevelType w:val="singleLevel"/>
    <w:tmpl w:val="CF3A217E"/>
    <w:lvl w:ilvl="0" w:tentative="0">
      <w:start w:val="1"/>
      <w:numFmt w:val="decimal"/>
      <w:suff w:val="nothing"/>
      <w:lvlText w:val="%1、"/>
      <w:lvlJc w:val="left"/>
    </w:lvl>
  </w:abstractNum>
  <w:abstractNum w:abstractNumId="1">
    <w:nsid w:val="00000015"/>
    <w:multiLevelType w:val="multilevel"/>
    <w:tmpl w:val="00000015"/>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16C7164B"/>
    <w:multiLevelType w:val="multilevel"/>
    <w:tmpl w:val="16C7164B"/>
    <w:lvl w:ilvl="0" w:tentative="0">
      <w:start w:val="1"/>
      <w:numFmt w:val="decimal"/>
      <w:lvlText w:val="（%1）"/>
      <w:lvlJc w:val="left"/>
      <w:pPr>
        <w:ind w:left="420" w:hanging="420"/>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0174DA1"/>
    <w:multiLevelType w:val="multilevel"/>
    <w:tmpl w:val="20174DA1"/>
    <w:lvl w:ilvl="0" w:tentative="0">
      <w:start w:val="1"/>
      <w:numFmt w:val="decimal"/>
      <w:lvlText w:val="（%1)"/>
      <w:lvlJc w:val="left"/>
      <w:pPr>
        <w:ind w:left="420" w:hanging="420"/>
      </w:pPr>
      <w:rPr>
        <w:rFonts w:hint="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99D3853"/>
    <w:multiLevelType w:val="multilevel"/>
    <w:tmpl w:val="299D3853"/>
    <w:lvl w:ilvl="0" w:tentative="0">
      <w:start w:val="1"/>
      <w:numFmt w:val="decimal"/>
      <w:lvlText w:val="%1"/>
      <w:lvlJc w:val="left"/>
      <w:pPr>
        <w:tabs>
          <w:tab w:val="left" w:pos="540"/>
        </w:tabs>
        <w:ind w:left="540" w:hanging="360"/>
      </w:pPr>
      <w:rPr>
        <w:rFonts w:hint="default" w:ascii="宋体" w:hAnsi="宋体" w:eastAsia="宋体" w:cs="Times New Roman"/>
        <w:b w:val="0"/>
      </w:rPr>
    </w:lvl>
    <w:lvl w:ilvl="1" w:tentative="0">
      <w:start w:val="1"/>
      <w:numFmt w:val="lowerLetter"/>
      <w:lvlText w:val="%2)"/>
      <w:lvlJc w:val="left"/>
      <w:pPr>
        <w:tabs>
          <w:tab w:val="left" w:pos="1020"/>
        </w:tabs>
        <w:ind w:left="1020" w:hanging="420"/>
      </w:pPr>
    </w:lvl>
    <w:lvl w:ilvl="2" w:tentative="0">
      <w:start w:val="1"/>
      <w:numFmt w:val="lowerRoman"/>
      <w:lvlText w:val="%3."/>
      <w:lvlJc w:val="right"/>
      <w:pPr>
        <w:tabs>
          <w:tab w:val="left" w:pos="1440"/>
        </w:tabs>
        <w:ind w:left="1440" w:hanging="420"/>
      </w:pPr>
    </w:lvl>
    <w:lvl w:ilvl="3" w:tentative="0">
      <w:start w:val="1"/>
      <w:numFmt w:val="decimal"/>
      <w:lvlText w:val="%4."/>
      <w:lvlJc w:val="left"/>
      <w:pPr>
        <w:tabs>
          <w:tab w:val="left" w:pos="1860"/>
        </w:tabs>
        <w:ind w:left="1860" w:hanging="420"/>
      </w:pPr>
    </w:lvl>
    <w:lvl w:ilvl="4" w:tentative="0">
      <w:start w:val="1"/>
      <w:numFmt w:val="lowerLetter"/>
      <w:lvlText w:val="%5)"/>
      <w:lvlJc w:val="left"/>
      <w:pPr>
        <w:tabs>
          <w:tab w:val="left" w:pos="2280"/>
        </w:tabs>
        <w:ind w:left="2280" w:hanging="420"/>
      </w:pPr>
    </w:lvl>
    <w:lvl w:ilvl="5" w:tentative="0">
      <w:start w:val="1"/>
      <w:numFmt w:val="lowerRoman"/>
      <w:lvlText w:val="%6."/>
      <w:lvlJc w:val="right"/>
      <w:pPr>
        <w:tabs>
          <w:tab w:val="left" w:pos="2700"/>
        </w:tabs>
        <w:ind w:left="2700" w:hanging="420"/>
      </w:pPr>
    </w:lvl>
    <w:lvl w:ilvl="6" w:tentative="0">
      <w:start w:val="1"/>
      <w:numFmt w:val="decimal"/>
      <w:lvlText w:val="%7."/>
      <w:lvlJc w:val="left"/>
      <w:pPr>
        <w:tabs>
          <w:tab w:val="left" w:pos="3120"/>
        </w:tabs>
        <w:ind w:left="3120" w:hanging="420"/>
      </w:pPr>
    </w:lvl>
    <w:lvl w:ilvl="7" w:tentative="0">
      <w:start w:val="1"/>
      <w:numFmt w:val="lowerLetter"/>
      <w:lvlText w:val="%8)"/>
      <w:lvlJc w:val="left"/>
      <w:pPr>
        <w:tabs>
          <w:tab w:val="left" w:pos="3540"/>
        </w:tabs>
        <w:ind w:left="3540" w:hanging="420"/>
      </w:pPr>
    </w:lvl>
    <w:lvl w:ilvl="8" w:tentative="0">
      <w:start w:val="1"/>
      <w:numFmt w:val="lowerRoman"/>
      <w:lvlText w:val="%9."/>
      <w:lvlJc w:val="right"/>
      <w:pPr>
        <w:tabs>
          <w:tab w:val="left" w:pos="3960"/>
        </w:tabs>
        <w:ind w:left="3960" w:hanging="420"/>
      </w:pPr>
    </w:lvl>
  </w:abstractNum>
  <w:abstractNum w:abstractNumId="5">
    <w:nsid w:val="56BE0CC7"/>
    <w:multiLevelType w:val="multilevel"/>
    <w:tmpl w:val="56BE0CC7"/>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5"/>
  </w:num>
  <w:num w:numId="4">
    <w:abstractNumId w:val="3"/>
  </w:num>
  <w:num w:numId="5">
    <w:abstractNumId w:val="0"/>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栾">
    <w15:presenceInfo w15:providerId="WPS Office" w15:userId="37732837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MWFkZDkzOWVlYTQ0MzI1YTRjNTE0MWJjOTlmOGQifQ=="/>
  </w:docVars>
  <w:rsids>
    <w:rsidRoot w:val="55313007"/>
    <w:rsid w:val="00277B8D"/>
    <w:rsid w:val="02995DDF"/>
    <w:rsid w:val="04AE7B23"/>
    <w:rsid w:val="06734B80"/>
    <w:rsid w:val="06A72B78"/>
    <w:rsid w:val="07016DCC"/>
    <w:rsid w:val="072D3ABA"/>
    <w:rsid w:val="07C31EBF"/>
    <w:rsid w:val="0BFB189F"/>
    <w:rsid w:val="0DF35A72"/>
    <w:rsid w:val="0E9B5131"/>
    <w:rsid w:val="0FD61CDB"/>
    <w:rsid w:val="0FFE370C"/>
    <w:rsid w:val="12850474"/>
    <w:rsid w:val="13031621"/>
    <w:rsid w:val="19FB7837"/>
    <w:rsid w:val="1ADC50F2"/>
    <w:rsid w:val="1BA333BA"/>
    <w:rsid w:val="1BE462DF"/>
    <w:rsid w:val="1CA02C0D"/>
    <w:rsid w:val="1D653ED7"/>
    <w:rsid w:val="20825C93"/>
    <w:rsid w:val="24527E05"/>
    <w:rsid w:val="26CF5368"/>
    <w:rsid w:val="28AD0A99"/>
    <w:rsid w:val="2A613F54"/>
    <w:rsid w:val="2D825525"/>
    <w:rsid w:val="2EE564D5"/>
    <w:rsid w:val="2F752C22"/>
    <w:rsid w:val="3B321836"/>
    <w:rsid w:val="3B534510"/>
    <w:rsid w:val="3B936B4F"/>
    <w:rsid w:val="3CB74ABF"/>
    <w:rsid w:val="40AF15FE"/>
    <w:rsid w:val="40E0576E"/>
    <w:rsid w:val="42941FAA"/>
    <w:rsid w:val="44496945"/>
    <w:rsid w:val="44D52BB3"/>
    <w:rsid w:val="44E21479"/>
    <w:rsid w:val="45C543A0"/>
    <w:rsid w:val="47CF7161"/>
    <w:rsid w:val="4A017636"/>
    <w:rsid w:val="4DE90850"/>
    <w:rsid w:val="4FAF1C73"/>
    <w:rsid w:val="51986815"/>
    <w:rsid w:val="52774DCE"/>
    <w:rsid w:val="52C84ED8"/>
    <w:rsid w:val="52F74D37"/>
    <w:rsid w:val="541F5A34"/>
    <w:rsid w:val="55313007"/>
    <w:rsid w:val="58B33F35"/>
    <w:rsid w:val="58BC103B"/>
    <w:rsid w:val="5C6C7489"/>
    <w:rsid w:val="5E2D374E"/>
    <w:rsid w:val="5FEB0165"/>
    <w:rsid w:val="629A38B4"/>
    <w:rsid w:val="64745AA1"/>
    <w:rsid w:val="67191D4F"/>
    <w:rsid w:val="683954A2"/>
    <w:rsid w:val="69006D22"/>
    <w:rsid w:val="692327B4"/>
    <w:rsid w:val="6A973C6D"/>
    <w:rsid w:val="6C3A2496"/>
    <w:rsid w:val="6CC5343A"/>
    <w:rsid w:val="6CDB3AA9"/>
    <w:rsid w:val="6D3377BA"/>
    <w:rsid w:val="6D7777CF"/>
    <w:rsid w:val="6FCA62DC"/>
    <w:rsid w:val="70404811"/>
    <w:rsid w:val="71121655"/>
    <w:rsid w:val="71A072F4"/>
    <w:rsid w:val="72A12C74"/>
    <w:rsid w:val="73DD4830"/>
    <w:rsid w:val="741F59E3"/>
    <w:rsid w:val="75EA23BE"/>
    <w:rsid w:val="765F4A43"/>
    <w:rsid w:val="77C6382D"/>
    <w:rsid w:val="7840713B"/>
    <w:rsid w:val="78EA560B"/>
    <w:rsid w:val="79643C88"/>
    <w:rsid w:val="7AA00365"/>
    <w:rsid w:val="7EA877E8"/>
    <w:rsid w:val="7EB96DA8"/>
    <w:rsid w:val="7F5E10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cs="仿宋_GB2312" w:asciiTheme="minorHAnsi" w:hAnsiTheme="minorHAnsi"/>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w:basedOn w:val="2"/>
    <w:qFormat/>
    <w:uiPriority w:val="0"/>
    <w:pPr>
      <w:adjustRightInd w:val="0"/>
      <w:spacing w:after="0" w:line="220" w:lineRule="exact"/>
      <w:ind w:left="360" w:hanging="360"/>
    </w:pPr>
    <w:rPr>
      <w:rFonts w:ascii="宋体" w:hAnsi="宋体"/>
      <w:color w:val="000000"/>
      <w:sz w:val="24"/>
      <w:szCs w:val="20"/>
    </w:rPr>
  </w:style>
  <w:style w:type="character" w:styleId="8">
    <w:name w:val="Strong"/>
    <w:qFormat/>
    <w:uiPriority w:val="0"/>
    <w:rPr>
      <w:rFonts w:ascii="宋体" w:hAnsi="宋体"/>
    </w:rPr>
  </w:style>
  <w:style w:type="paragraph" w:customStyle="1" w:styleId="9">
    <w:name w:val="Default"/>
    <w:qFormat/>
    <w:uiPriority w:val="0"/>
    <w:pPr>
      <w:widowControl w:val="0"/>
      <w:autoSpaceDE w:val="0"/>
      <w:autoSpaceDN w:val="0"/>
      <w:adjustRightInd w:val="0"/>
      <w:spacing w:line="560" w:lineRule="exact"/>
      <w:jc w:val="both"/>
    </w:pPr>
    <w:rPr>
      <w:rFonts w:ascii="宋体" w:hAnsi="Calibri" w:eastAsia="宋体" w:cs="宋体"/>
      <w:color w:val="000000"/>
      <w:sz w:val="24"/>
      <w:szCs w:val="24"/>
      <w:lang w:val="en-US" w:eastAsia="zh-CN" w:bidi="ar-SA"/>
    </w:rPr>
  </w:style>
  <w:style w:type="paragraph" w:customStyle="1" w:styleId="10">
    <w:name w:val="WPSOffice手动目录 1"/>
    <w:qFormat/>
    <w:uiPriority w:val="0"/>
    <w:pPr>
      <w:ind w:leftChars="0"/>
    </w:pPr>
    <w:rPr>
      <w:rFonts w:asciiTheme="minorHAnsi" w:hAnsiTheme="minorHAnsi" w:eastAsiaTheme="minorEastAsia" w:cstheme="minorBidi"/>
      <w:sz w:val="20"/>
      <w:szCs w:val="20"/>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7956</Words>
  <Characters>8392</Characters>
  <Lines>0</Lines>
  <Paragraphs>0</Paragraphs>
  <TotalTime>44</TotalTime>
  <ScaleCrop>false</ScaleCrop>
  <LinksUpToDate>false</LinksUpToDate>
  <CharactersWithSpaces>8809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2024-03-19T06:07:00Z</dcterms:created>
  <dc:creator>黎钧华</dc:creator>
  <cp:lastModifiedBy>林向红</cp:lastModifiedBy>
  <dcterms:modified xsi:type="dcterms:W3CDTF">2026-01-30T06:46:25Z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B5610484469C499088C58862FC2C3FE0_13</vt:lpwstr>
  </property>
  <property fmtid="{D5CDD505-2E9C-101B-9397-08002B2CF9AE}" pid="4" name="KSOTemplateDocerSaveRecord">
    <vt:lpwstr>eyJoZGlkIjoiMGQzMTY1OWI3Njg5M2Y5ZTNjZmFlYTBkMTkyZmE0ZjciLCJ1c2VySWQiOiI3MjIzMjkxNzkifQ==</vt:lpwstr>
  </property>
</Properties>
</file>